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AB" w:rsidRPr="00997F64" w:rsidRDefault="00CE24C0" w:rsidP="00B402AB">
      <w:pPr>
        <w:pStyle w:val="MDPI11articletype"/>
      </w:pPr>
      <w:bookmarkStart w:id="0" w:name="_GoBack"/>
      <w:bookmarkEnd w:id="0"/>
      <w:r>
        <w:t>Article</w:t>
      </w:r>
    </w:p>
    <w:p w:rsidR="00B402AB" w:rsidRPr="00997F64" w:rsidRDefault="00863B89" w:rsidP="00B402AB">
      <w:pPr>
        <w:pStyle w:val="MDPI12title"/>
        <w:spacing w:line="240" w:lineRule="atLeast"/>
      </w:pPr>
      <w:r>
        <w:t>A decentralized solution for</w:t>
      </w:r>
      <w:r w:rsidR="00CE24C0">
        <w:t xml:space="preserve"> </w:t>
      </w:r>
      <w:r w:rsidR="00CE24C0" w:rsidRPr="00CE24C0">
        <w:t>Transmission Expansion Planning</w:t>
      </w:r>
      <w:r>
        <w:t>: getting inspiration from nature</w:t>
      </w:r>
    </w:p>
    <w:p w:rsidR="00B402AB" w:rsidRPr="00CE24C0" w:rsidRDefault="00CE24C0" w:rsidP="00B402AB">
      <w:pPr>
        <w:pStyle w:val="MDPI13authornames"/>
        <w:rPr>
          <w:lang w:val="es-ES"/>
        </w:rPr>
      </w:pPr>
      <w:r w:rsidRPr="00CE24C0">
        <w:rPr>
          <w:lang w:val="es-ES"/>
        </w:rPr>
        <w:t xml:space="preserve">Sara Lumbreras </w:t>
      </w:r>
      <w:r>
        <w:rPr>
          <w:lang w:val="es-ES"/>
        </w:rPr>
        <w:t>*</w:t>
      </w:r>
      <w:r w:rsidR="00B402AB" w:rsidRPr="00CE24C0">
        <w:rPr>
          <w:vertAlign w:val="superscript"/>
          <w:lang w:val="es-ES"/>
        </w:rPr>
        <w:t>1</w:t>
      </w:r>
      <w:r w:rsidR="00B402AB" w:rsidRPr="00CE24C0">
        <w:rPr>
          <w:lang w:val="es-ES"/>
        </w:rPr>
        <w:t xml:space="preserve">, </w:t>
      </w:r>
      <w:r w:rsidRPr="00CE24C0">
        <w:rPr>
          <w:lang w:val="es-ES"/>
        </w:rPr>
        <w:t xml:space="preserve">Sonja Wogrin </w:t>
      </w:r>
      <w:r w:rsidRPr="00CE24C0">
        <w:rPr>
          <w:vertAlign w:val="superscript"/>
          <w:lang w:val="es-ES"/>
        </w:rPr>
        <w:t>1</w:t>
      </w:r>
      <w:r w:rsidRPr="00CE24C0">
        <w:rPr>
          <w:lang w:val="es-ES"/>
        </w:rPr>
        <w:t>, Guillermo Navarro</w:t>
      </w:r>
      <w:r>
        <w:rPr>
          <w:vertAlign w:val="superscript"/>
          <w:lang w:val="es-ES"/>
        </w:rPr>
        <w:t>,</w:t>
      </w:r>
      <w:r w:rsidRPr="00CE24C0">
        <w:rPr>
          <w:lang w:val="es-ES"/>
        </w:rPr>
        <w:t xml:space="preserve"> </w:t>
      </w:r>
      <w:r w:rsidRPr="00CE24C0">
        <w:rPr>
          <w:vertAlign w:val="superscript"/>
          <w:lang w:val="es-ES"/>
        </w:rPr>
        <w:t>1</w:t>
      </w:r>
      <w:r>
        <w:rPr>
          <w:lang w:val="es-ES"/>
        </w:rPr>
        <w:t>, Ilaria</w:t>
      </w:r>
      <w:r w:rsidRPr="00CE24C0">
        <w:rPr>
          <w:lang w:val="es-ES"/>
        </w:rPr>
        <w:t xml:space="preserve"> </w:t>
      </w:r>
      <w:r>
        <w:rPr>
          <w:lang w:val="es-ES"/>
        </w:rPr>
        <w:t xml:space="preserve">Bertazzi </w:t>
      </w:r>
      <w:r>
        <w:rPr>
          <w:vertAlign w:val="superscript"/>
          <w:lang w:val="es-ES"/>
        </w:rPr>
        <w:t>2</w:t>
      </w:r>
      <w:r>
        <w:rPr>
          <w:lang w:val="es-ES"/>
        </w:rPr>
        <w:t xml:space="preserve">, Maria Pereda </w:t>
      </w:r>
      <w:r>
        <w:rPr>
          <w:vertAlign w:val="superscript"/>
          <w:lang w:val="es-ES"/>
        </w:rPr>
        <w:t>3</w:t>
      </w:r>
      <w:r w:rsidR="00B402AB" w:rsidRPr="00CE24C0">
        <w:rPr>
          <w:lang w:val="es-ES"/>
        </w:rPr>
        <w:t xml:space="preserve"> </w:t>
      </w:r>
    </w:p>
    <w:p w:rsidR="00CE24C0" w:rsidRDefault="00B402AB" w:rsidP="00B402AB">
      <w:pPr>
        <w:pStyle w:val="MDPI16affiliation"/>
        <w:rPr>
          <w:lang w:val="es-ES"/>
        </w:rPr>
      </w:pPr>
      <w:r w:rsidRPr="00CE24C0">
        <w:rPr>
          <w:vertAlign w:val="superscript"/>
          <w:lang w:val="es-ES"/>
        </w:rPr>
        <w:t>1</w:t>
      </w:r>
      <w:r w:rsidRPr="00CE24C0">
        <w:rPr>
          <w:lang w:val="es-ES"/>
        </w:rPr>
        <w:tab/>
      </w:r>
      <w:r w:rsidR="00CE24C0" w:rsidRPr="00CE24C0">
        <w:rPr>
          <w:lang w:val="es-ES"/>
        </w:rPr>
        <w:t>Universidad Pontificia Comillas, 26 Santa Cruz de Marcenado, 28015 Madrid (Spain)</w:t>
      </w:r>
      <w:r w:rsidRPr="00CE24C0">
        <w:rPr>
          <w:lang w:val="es-ES"/>
        </w:rPr>
        <w:t xml:space="preserve">; </w:t>
      </w:r>
    </w:p>
    <w:p w:rsidR="00A40B21" w:rsidRDefault="00B402AB" w:rsidP="00B402AB">
      <w:pPr>
        <w:pStyle w:val="MDPI16affiliation"/>
        <w:rPr>
          <w:szCs w:val="20"/>
        </w:rPr>
      </w:pPr>
      <w:r w:rsidRPr="0075261E">
        <w:rPr>
          <w:szCs w:val="20"/>
          <w:vertAlign w:val="superscript"/>
        </w:rPr>
        <w:t>2</w:t>
      </w:r>
      <w:r w:rsidRPr="0075261E">
        <w:rPr>
          <w:szCs w:val="20"/>
        </w:rPr>
        <w:tab/>
      </w:r>
      <w:r w:rsidR="00CE24C0" w:rsidRPr="0075261E">
        <w:rPr>
          <w:szCs w:val="20"/>
        </w:rPr>
        <w:t xml:space="preserve">Unité de Recherche LISC, Irstea </w:t>
      </w:r>
    </w:p>
    <w:p w:rsidR="00CE24C0" w:rsidRDefault="00CE24C0" w:rsidP="00B402AB">
      <w:pPr>
        <w:pStyle w:val="MDPI16affiliation"/>
        <w:rPr>
          <w:szCs w:val="20"/>
        </w:rPr>
      </w:pPr>
      <w:r w:rsidRPr="00CE24C0">
        <w:rPr>
          <w:szCs w:val="20"/>
          <w:vertAlign w:val="superscript"/>
        </w:rPr>
        <w:t>3</w:t>
      </w:r>
      <w:r w:rsidRPr="00CE24C0">
        <w:rPr>
          <w:szCs w:val="20"/>
        </w:rPr>
        <w:tab/>
        <w:t xml:space="preserve">RWTH Aachen University, Chair for Computational </w:t>
      </w:r>
      <w:r w:rsidR="00A40B21">
        <w:rPr>
          <w:szCs w:val="20"/>
        </w:rPr>
        <w:t>Social Sciences and Humanities</w:t>
      </w:r>
    </w:p>
    <w:p w:rsidR="00CE24C0" w:rsidRPr="00CE24C0" w:rsidRDefault="00CE24C0" w:rsidP="00CE24C0">
      <w:pPr>
        <w:pStyle w:val="MDPI16affiliation"/>
        <w:ind w:left="0" w:firstLine="0"/>
      </w:pPr>
    </w:p>
    <w:p w:rsidR="00B402AB" w:rsidRPr="00997F64" w:rsidRDefault="00B402AB" w:rsidP="00B402AB">
      <w:pPr>
        <w:pStyle w:val="MDPI14history"/>
        <w:spacing w:before="0"/>
        <w:ind w:left="311" w:hanging="198"/>
      </w:pPr>
      <w:r w:rsidRPr="00997F64">
        <w:rPr>
          <w:b/>
        </w:rPr>
        <w:t>*</w:t>
      </w:r>
      <w:r w:rsidRPr="00997F64">
        <w:tab/>
        <w:t xml:space="preserve">Correspondence: </w:t>
      </w:r>
      <w:r w:rsidR="00CE24C0">
        <w:t>slumbreras@comillas.edu</w:t>
      </w:r>
      <w:r w:rsidR="00E847BE">
        <w:t xml:space="preserve"> (</w:t>
      </w:r>
      <w:r w:rsidR="00CE24C0">
        <w:t>S</w:t>
      </w:r>
      <w:r w:rsidR="00E847BE">
        <w:t>.L.)</w:t>
      </w:r>
    </w:p>
    <w:p w:rsidR="00B402AB" w:rsidRPr="00997F64" w:rsidRDefault="00B402AB" w:rsidP="00B402AB">
      <w:pPr>
        <w:pStyle w:val="MDPI14history"/>
      </w:pPr>
      <w:r w:rsidRPr="00997F64">
        <w:t>Received: date; Accepted: date; Published: date</w:t>
      </w:r>
    </w:p>
    <w:p w:rsidR="00CE24C0" w:rsidRDefault="00B402AB" w:rsidP="00CE24C0">
      <w:pPr>
        <w:pStyle w:val="MDPI17abstract"/>
      </w:pPr>
      <w:r w:rsidRPr="00997F64">
        <w:rPr>
          <w:b/>
        </w:rPr>
        <w:t xml:space="preserve">Abstract: </w:t>
      </w:r>
      <w:r w:rsidR="00A40B21">
        <w:t>Transmission Expansion Planning is</w:t>
      </w:r>
      <w:r w:rsidR="00CE24C0">
        <w:t xml:space="preserve"> a problem of considerable complexity where classical optimization techniques are unable to handle large case studies.</w:t>
      </w:r>
      <w:r w:rsidR="00A40B21">
        <w:t xml:space="preserve"> Decomposition and divide-and-conquer strategies have been applied to this problem. We propose an alternative approach based on Agent-Based Modeling</w:t>
      </w:r>
      <w:r w:rsidR="009B1A7D">
        <w:t xml:space="preserve"> (ABM) and inspired by the behavior of the </w:t>
      </w:r>
      <w:r w:rsidR="00CE24C0">
        <w:t xml:space="preserve">Plasmodium </w:t>
      </w:r>
      <w:r w:rsidR="004D2A1F">
        <w:t>mold</w:t>
      </w:r>
      <w:r w:rsidR="009B1A7D">
        <w:t>, which</w:t>
      </w:r>
      <w:r w:rsidR="00CE24C0">
        <w:t xml:space="preserve"> builds efficient transportation networks as result of its search for food sources. Algorithms inspired by this </w:t>
      </w:r>
      <w:r w:rsidR="004D2A1F">
        <w:t>mold</w:t>
      </w:r>
      <w:r w:rsidR="00CE24C0">
        <w:t xml:space="preserve"> have already been applied to road network</w:t>
      </w:r>
      <w:r w:rsidR="009B1A7D">
        <w:t xml:space="preserve"> design.</w:t>
      </w:r>
      <w:r w:rsidR="00CE24C0">
        <w:t xml:space="preserve"> We </w:t>
      </w:r>
      <w:r w:rsidR="009B1A7D">
        <w:t xml:space="preserve">modify an existing ABM for road-network design to </w:t>
      </w:r>
      <w:r w:rsidR="00863B89">
        <w:t>include</w:t>
      </w:r>
      <w:r w:rsidR="00CE24C0">
        <w:t xml:space="preserve"> the idiosyncratic features of power systems and their related physics</w:t>
      </w:r>
      <w:r w:rsidR="009B1A7D">
        <w:t>, and test it over an array of case studies.</w:t>
      </w:r>
      <w:r w:rsidR="00863B89">
        <w:t xml:space="preserve"> </w:t>
      </w:r>
      <w:r w:rsidR="00CE24C0">
        <w:t xml:space="preserve">Our results show that </w:t>
      </w:r>
      <w:r w:rsidR="00863B89">
        <w:t>the ABM</w:t>
      </w:r>
      <w:r w:rsidR="00CE24C0">
        <w:t xml:space="preserve"> can provide near-optimal designs in all the instances studied, possibly with some further interesting properties with respect to the robustness of the developed design. </w:t>
      </w:r>
      <w:r w:rsidR="00863B89">
        <w:t>In addition, the model works in a decentralized manner, using mostly local information. This means that computational time will scale with size in a more benign way than global optimization approaches. Our work</w:t>
      </w:r>
      <w:r w:rsidR="00CE24C0">
        <w:t xml:space="preserve"> shows promise in applying ABMs to solve similarly complex global optimization problems in the energy landscape.</w:t>
      </w:r>
    </w:p>
    <w:p w:rsidR="00B402AB" w:rsidRPr="00997F64" w:rsidRDefault="00B402AB" w:rsidP="00B402AB">
      <w:pPr>
        <w:pStyle w:val="MDPI18keywords"/>
      </w:pPr>
      <w:r w:rsidRPr="00997F64">
        <w:rPr>
          <w:b/>
        </w:rPr>
        <w:t xml:space="preserve">Keywords: </w:t>
      </w:r>
      <w:r w:rsidR="00863B89" w:rsidRPr="00863B89">
        <w:t>Transmission Expansion Planning; Agent-Based Modeling</w:t>
      </w:r>
    </w:p>
    <w:p w:rsidR="00B402AB" w:rsidRPr="00997F64" w:rsidRDefault="00B402AB" w:rsidP="00B402AB">
      <w:pPr>
        <w:pStyle w:val="MDPI19line"/>
      </w:pPr>
    </w:p>
    <w:p w:rsidR="00B402AB" w:rsidRPr="00997F64" w:rsidRDefault="00B402AB" w:rsidP="00B402AB">
      <w:pPr>
        <w:pStyle w:val="MDPI21heading1"/>
      </w:pPr>
      <w:r w:rsidRPr="00997F64">
        <w:rPr>
          <w:lang w:eastAsia="zh-CN"/>
        </w:rPr>
        <w:t xml:space="preserve">1. </w:t>
      </w:r>
      <w:r w:rsidRPr="00997F64">
        <w:t>Introduction</w:t>
      </w:r>
    </w:p>
    <w:p w:rsidR="00A40B21" w:rsidRDefault="00A40B21" w:rsidP="00863B89">
      <w:pPr>
        <w:pStyle w:val="MDPI31text"/>
      </w:pPr>
      <w:bookmarkStart w:id="1" w:name="OLE_LINK1"/>
      <w:bookmarkStart w:id="2" w:name="OLE_LINK2"/>
      <w:r>
        <w:t>Transmission Expansion Planning (TEP) decides the optimal reinforcements for the transmission grid. Solving this problem presents a considerable computational complexity, given the very high number of discrete variables that result from taking into account all the possible reinforcements. This issue has been exacerbated by the increase in renewable penetration. The variability of renewables could be balanced by using long-range transmission across geographical regions. This means that larger areas need to be planned in a coordinated manner. This is highly problematic, as computing time scales badly with size for these optimization problems. Decomposition, simplifications and other divide-and-conquer strategies have been proposed to tackle this issue, as explained below.</w:t>
      </w:r>
      <w:r w:rsidR="004D2A1F">
        <w:t xml:space="preserve"> A good overview of these issues is given in reference </w:t>
      </w:r>
      <w:r w:rsidR="004D2A1F">
        <w:fldChar w:fldCharType="begin"/>
      </w:r>
      <w:r w:rsidR="004D2A1F">
        <w:instrText>ADDIN RW.CITE{{1150 Lumbreras, Sara 2016}}</w:instrText>
      </w:r>
      <w:r w:rsidR="004D2A1F">
        <w:fldChar w:fldCharType="separate"/>
      </w:r>
      <w:r w:rsidR="009B1A7D">
        <w:t>[1]</w:t>
      </w:r>
      <w:r w:rsidR="004D2A1F">
        <w:fldChar w:fldCharType="end"/>
      </w:r>
      <w:r w:rsidR="004D2A1F">
        <w:t>.</w:t>
      </w:r>
      <w:r>
        <w:t xml:space="preserve"> </w:t>
      </w:r>
      <w:r w:rsidR="004D2A1F">
        <w:t>In this paper, w</w:t>
      </w:r>
      <w:r>
        <w:t>e propose an alternative ap</w:t>
      </w:r>
      <w:r w:rsidR="004D2A1F">
        <w:t xml:space="preserve">proach: </w:t>
      </w:r>
      <w:r>
        <w:t xml:space="preserve">Agent-Based modeling (ABM).   </w:t>
      </w:r>
    </w:p>
    <w:p w:rsidR="00863B89" w:rsidRPr="005B5926" w:rsidRDefault="00A40B21" w:rsidP="00863B89">
      <w:pPr>
        <w:pStyle w:val="MDPI31text"/>
      </w:pPr>
      <w:r>
        <w:t>ABM</w:t>
      </w:r>
      <w:r w:rsidR="00863B89" w:rsidRPr="001970B2">
        <w:t xml:space="preserve"> is a consolidated methodology for creating computational models from a bottom-up perspective</w:t>
      </w:r>
      <w:r w:rsidR="004D2A1F" w:rsidRPr="004D2A1F">
        <w:t xml:space="preserve"> </w:t>
      </w:r>
      <w:r w:rsidR="004D2A1F">
        <w:t>that is routinely</w:t>
      </w:r>
      <w:r w:rsidR="004D2A1F" w:rsidRPr="005B5926">
        <w:t xml:space="preserve"> </w:t>
      </w:r>
      <w:r w:rsidR="004D2A1F">
        <w:t>applie</w:t>
      </w:r>
      <w:r w:rsidR="004D2A1F" w:rsidRPr="005B5926">
        <w:t>d in many disciplines, including ecology</w:t>
      </w:r>
      <w:r w:rsidR="004D2A1F">
        <w:t>, the</w:t>
      </w:r>
      <w:r w:rsidR="004D2A1F" w:rsidRPr="005B5926">
        <w:t xml:space="preserve"> social sciences, economics, and biology </w:t>
      </w:r>
      <w:r w:rsidR="004D2A1F" w:rsidRPr="00C33D31">
        <w:fldChar w:fldCharType="begin"/>
      </w:r>
      <w:r w:rsidR="004D2A1F" w:rsidRPr="005B5926">
        <w:instrText>ADDIN RW.CITE{{1078 Tero,A. 2010}}</w:instrText>
      </w:r>
      <w:r w:rsidR="004D2A1F" w:rsidRPr="00C33D31">
        <w:fldChar w:fldCharType="separate"/>
      </w:r>
      <w:r w:rsidR="009B1A7D">
        <w:t>[2]</w:t>
      </w:r>
      <w:r w:rsidR="004D2A1F" w:rsidRPr="00C33D31">
        <w:fldChar w:fldCharType="end"/>
      </w:r>
      <w:r w:rsidR="004D2A1F" w:rsidRPr="005B5926">
        <w:t>.</w:t>
      </w:r>
      <w:r w:rsidR="004D2A1F">
        <w:t xml:space="preserve"> </w:t>
      </w:r>
      <w:r w:rsidR="00863B89" w:rsidRPr="001970B2">
        <w:t>The entities that compose the system are explicitly represented in the model as agents that interact with each other and with the environment</w:t>
      </w:r>
      <w:r w:rsidR="004D2A1F">
        <w:t>. These interactions are local, because they refer to agents and the ones they encounter in their proximity</w:t>
      </w:r>
      <w:r w:rsidR="00863B89" w:rsidRPr="001970B2">
        <w:t xml:space="preserve"> </w:t>
      </w:r>
      <w:r w:rsidR="00863B89" w:rsidRPr="001970B2">
        <w:fldChar w:fldCharType="begin"/>
      </w:r>
      <w:r w:rsidR="00863B89" w:rsidRPr="001970B2">
        <w:instrText>ADDIN RW.CITE{{1049 Galán, José Manuel 2009}}</w:instrText>
      </w:r>
      <w:r w:rsidR="00863B89" w:rsidRPr="001970B2">
        <w:fldChar w:fldCharType="separate"/>
      </w:r>
      <w:r w:rsidR="009B1A7D">
        <w:t>[3]</w:t>
      </w:r>
      <w:r w:rsidR="00863B89" w:rsidRPr="001970B2">
        <w:fldChar w:fldCharType="end"/>
      </w:r>
      <w:r w:rsidR="00863B89">
        <w:t xml:space="preserve">. </w:t>
      </w:r>
      <w:r w:rsidR="004D2A1F">
        <w:t xml:space="preserve">However, their interactions might lead to globally optimal design, such as in the cases if ant-colony behavior and slime mold growth, which have been shown to develop optimal networks </w:t>
      </w:r>
      <w:r w:rsidR="004D2A1F" w:rsidRPr="00C33D31">
        <w:fldChar w:fldCharType="begin"/>
      </w:r>
      <w:r w:rsidR="004D2A1F" w:rsidRPr="00916BEF">
        <w:instrText>ADDIN RW.CITE{{1078 Tero,A. 2010}}</w:instrText>
      </w:r>
      <w:r w:rsidR="004D2A1F" w:rsidRPr="00C33D31">
        <w:fldChar w:fldCharType="separate"/>
      </w:r>
      <w:r w:rsidR="009B1A7D">
        <w:t>[2]</w:t>
      </w:r>
      <w:r w:rsidR="004D2A1F" w:rsidRPr="00C33D31">
        <w:fldChar w:fldCharType="end"/>
      </w:r>
      <w:r w:rsidR="004D2A1F">
        <w:t>. In these</w:t>
      </w:r>
      <w:r w:rsidR="00863B89" w:rsidRPr="005B5926">
        <w:t xml:space="preserve"> biological systems, network development involves two phases: exploration and consolidation. The exploratory phase is characterized by the over-production of links</w:t>
      </w:r>
      <w:r w:rsidR="004D2A1F">
        <w:t xml:space="preserve"> between the core organism and the possible food sources.</w:t>
      </w:r>
      <w:r w:rsidR="00863B89" w:rsidRPr="005B5926">
        <w:t xml:space="preserve"> The consolidation phase, in turn, leads to the </w:t>
      </w:r>
      <w:r w:rsidR="00863B89" w:rsidRPr="005B5926">
        <w:lastRenderedPageBreak/>
        <w:t xml:space="preserve">selection and positive reinforcement of </w:t>
      </w:r>
      <w:r w:rsidR="004D2A1F">
        <w:t>the links that are used the most</w:t>
      </w:r>
      <w:r w:rsidR="00863B89" w:rsidRPr="005B5926">
        <w:t xml:space="preserve">, while destroying or recycling </w:t>
      </w:r>
      <w:r w:rsidR="004D2A1F">
        <w:t>the rest</w:t>
      </w:r>
      <w:r w:rsidR="00863B89" w:rsidRPr="005B5926">
        <w:t xml:space="preserve">. </w:t>
      </w:r>
      <w:r w:rsidR="004D2A1F">
        <w:t>T</w:t>
      </w:r>
      <w:r w:rsidR="00863B89" w:rsidRPr="005B5926">
        <w:t>he final network structure is likely to represent a context-specific balance between the need for efficient transport, low cost, and robustness.</w:t>
      </w:r>
    </w:p>
    <w:p w:rsidR="00863B89" w:rsidRDefault="00863B89" w:rsidP="004D2A1F">
      <w:pPr>
        <w:pStyle w:val="MDPI31text"/>
      </w:pPr>
      <w:r w:rsidRPr="00916BEF">
        <w:t xml:space="preserve">The inspiration for our </w:t>
      </w:r>
      <w:r>
        <w:t>algorithm comes from</w:t>
      </w:r>
      <w:r w:rsidR="004D2A1F">
        <w:t xml:space="preserve"> reference</w:t>
      </w:r>
      <w:r>
        <w:t xml:space="preserve"> </w:t>
      </w:r>
      <w:r w:rsidRPr="00C33D31">
        <w:fldChar w:fldCharType="begin"/>
      </w:r>
      <w:r w:rsidRPr="00916BEF">
        <w:instrText>ADDIN RW.CITE{{1078 Tero,A. 2010}}</w:instrText>
      </w:r>
      <w:r w:rsidRPr="00C33D31">
        <w:fldChar w:fldCharType="separate"/>
      </w:r>
      <w:r w:rsidR="009B1A7D">
        <w:t>[2]</w:t>
      </w:r>
      <w:r w:rsidRPr="00C33D31">
        <w:fldChar w:fldCharType="end"/>
      </w:r>
      <w:r w:rsidRPr="00916BEF">
        <w:t xml:space="preserve">. </w:t>
      </w:r>
      <w:r w:rsidRPr="005B5926">
        <w:t xml:space="preserve">In their article, which is based on biological experiments, the authors argue that the slime </w:t>
      </w:r>
      <w:r w:rsidR="004D2A1F">
        <w:t>mold</w:t>
      </w:r>
      <w:r w:rsidRPr="005B5926">
        <w:t xml:space="preserve"> </w:t>
      </w:r>
      <w:r w:rsidRPr="00863B89">
        <w:t>Physarum Polycephalum</w:t>
      </w:r>
      <w:r w:rsidRPr="005B5926">
        <w:t xml:space="preserve"> creates a network </w:t>
      </w:r>
      <w:r>
        <w:t xml:space="preserve">that is </w:t>
      </w:r>
      <w:r w:rsidRPr="005B5926">
        <w:t>efficient enough to compete with the real design of the railway system around Tokyo</w:t>
      </w:r>
      <w:r w:rsidRPr="00863B89">
        <w:t xml:space="preserve">. </w:t>
      </w:r>
      <w:r w:rsidR="004D2A1F">
        <w:t xml:space="preserve">The molds </w:t>
      </w:r>
      <w:r w:rsidRPr="00863B89">
        <w:t>Plasmodium and Physarum</w:t>
      </w:r>
      <w:r w:rsidRPr="005B5926">
        <w:t xml:space="preserve"> have been shown to be able to solve many computational problems, such as finding the shortest path between two points </w:t>
      </w:r>
      <w:r w:rsidRPr="00C33D31">
        <w:fldChar w:fldCharType="begin"/>
      </w:r>
      <w:r w:rsidRPr="005B5926">
        <w:instrText>ADDIN RW.CITE{{1079 Nakagaki, Toshiyuki 2001}}</w:instrText>
      </w:r>
      <w:r w:rsidRPr="00C33D31">
        <w:fldChar w:fldCharType="separate"/>
      </w:r>
      <w:r w:rsidR="009B1A7D">
        <w:t>[4]</w:t>
      </w:r>
      <w:r w:rsidRPr="00C33D31">
        <w:fldChar w:fldCharType="end"/>
      </w:r>
      <w:r w:rsidRPr="005B5926">
        <w:t xml:space="preserve">, constructing hierarchies of planar proximity graphs </w:t>
      </w:r>
      <w:r w:rsidRPr="00C33D31">
        <w:fldChar w:fldCharType="begin"/>
      </w:r>
      <w:r w:rsidRPr="005B5926">
        <w:instrText>ADDIN RW.CITE{{1080 Adamatzky, Andrew 2009}}</w:instrText>
      </w:r>
      <w:r w:rsidRPr="00C33D31">
        <w:fldChar w:fldCharType="separate"/>
      </w:r>
      <w:r w:rsidR="009B1A7D">
        <w:t>[5]</w:t>
      </w:r>
      <w:r w:rsidRPr="00C33D31">
        <w:fldChar w:fldCharType="end"/>
      </w:r>
      <w:r w:rsidRPr="005B5926">
        <w:t xml:space="preserve">, or executing basic logical computing schemes </w:t>
      </w:r>
      <w:r w:rsidRPr="001970B2">
        <w:fldChar w:fldCharType="begin"/>
      </w:r>
      <w:r w:rsidRPr="005B5926">
        <w:instrText>ADDIN RW.CITE{{1081 Tsuda, Soichiro 2004; 1080 Adamatzky, Andrew 2009}}</w:instrText>
      </w:r>
      <w:r w:rsidRPr="001970B2">
        <w:fldChar w:fldCharType="separate"/>
      </w:r>
      <w:r w:rsidR="009B1A7D">
        <w:t>[5], [6]</w:t>
      </w:r>
      <w:r w:rsidRPr="001970B2">
        <w:fldChar w:fldCharType="end"/>
      </w:r>
      <w:r w:rsidRPr="005B5926">
        <w:t xml:space="preserve">. It is also capable of sketching a mathematical model of an adaptive network that solves a convoluted maze </w:t>
      </w:r>
      <w:r w:rsidRPr="00C33D31">
        <w:fldChar w:fldCharType="begin"/>
      </w:r>
      <w:r w:rsidRPr="005B5926">
        <w:instrText>ADDIN RW.CITE{{1078 Tero,A. 2010}}</w:instrText>
      </w:r>
      <w:r w:rsidRPr="00C33D31">
        <w:fldChar w:fldCharType="separate"/>
      </w:r>
      <w:r w:rsidR="009B1A7D">
        <w:t>[2]</w:t>
      </w:r>
      <w:r w:rsidRPr="00C33D31">
        <w:fldChar w:fldCharType="end"/>
      </w:r>
      <w:r w:rsidRPr="005B5926">
        <w:t xml:space="preserve">. The key underlying mechanism </w:t>
      </w:r>
      <w:r>
        <w:t xml:space="preserve">supporting its success, in all these instances, </w:t>
      </w:r>
      <w:r w:rsidRPr="005B5926">
        <w:t xml:space="preserve">is </w:t>
      </w:r>
      <w:r w:rsidR="004D2A1F">
        <w:t xml:space="preserve">always this cycle of over-production of links and consolidation. This is precisely what we will imitate in our algorithm: the transmission lines that are used the most will be reinforced, while the ones that are not used will be discarded. </w:t>
      </w:r>
      <w:r w:rsidRPr="005B5926">
        <w:t xml:space="preserve">Some studies tried to replicate the behavior of this specific slime </w:t>
      </w:r>
      <w:r w:rsidR="004D2A1F">
        <w:t>mold</w:t>
      </w:r>
      <w:r w:rsidRPr="005B5926">
        <w:t xml:space="preserve"> by extrapolating its behavioral rules and simulating them in</w:t>
      </w:r>
      <w:r w:rsidR="004D2A1F">
        <w:t xml:space="preserve"> computer-based</w:t>
      </w:r>
      <w:r w:rsidRPr="005B5926">
        <w:t xml:space="preserve"> ABM</w:t>
      </w:r>
      <w:r w:rsidR="004D2A1F">
        <w:t xml:space="preserve">s </w:t>
      </w:r>
      <w:r w:rsidRPr="00C33D31">
        <w:fldChar w:fldCharType="begin"/>
      </w:r>
      <w:r w:rsidRPr="005B5926">
        <w:instrText>ADDIN RW.CITE{{1083 Takamatsu, Atsuko 2009}}</w:instrText>
      </w:r>
      <w:r w:rsidRPr="00C33D31">
        <w:fldChar w:fldCharType="separate"/>
      </w:r>
      <w:r w:rsidR="009B1A7D">
        <w:t>[7]</w:t>
      </w:r>
      <w:r w:rsidRPr="00C33D31">
        <w:fldChar w:fldCharType="end"/>
      </w:r>
      <w:r w:rsidR="004D2A1F">
        <w:t>.</w:t>
      </w:r>
    </w:p>
    <w:p w:rsidR="00863B89" w:rsidRDefault="004D2A1F" w:rsidP="00863B89">
      <w:pPr>
        <w:pStyle w:val="MDPI31text"/>
      </w:pPr>
      <w:r>
        <w:t>In this paper, we present an ABM inspired by the behavior of the slime mold to solve TEP. Because ABMs rely on local information, they present a promising avenue to tackle TEP in large-scale systems</w:t>
      </w:r>
      <w:r w:rsidR="00863B89" w:rsidRPr="005B5926">
        <w:t>.</w:t>
      </w:r>
    </w:p>
    <w:p w:rsidR="00863B89" w:rsidRDefault="00863B89" w:rsidP="00863B89">
      <w:pPr>
        <w:pStyle w:val="MDPI31text"/>
      </w:pPr>
      <w:r>
        <w:t>The contributions of this paper are the following:</w:t>
      </w:r>
    </w:p>
    <w:p w:rsidR="00863B89" w:rsidRDefault="00863B89" w:rsidP="003542E1">
      <w:pPr>
        <w:pStyle w:val="MDPI38bullet"/>
      </w:pPr>
      <w:r>
        <w:t>We</w:t>
      </w:r>
      <w:r w:rsidR="004D2A1F">
        <w:t xml:space="preserve"> design an</w:t>
      </w:r>
      <w:r w:rsidR="00A40B21">
        <w:t xml:space="preserve"> </w:t>
      </w:r>
      <w:r>
        <w:t>ABM</w:t>
      </w:r>
      <w:r w:rsidR="004D2A1F">
        <w:t xml:space="preserve"> to solve TEP. This ABM is inspired by the behavior of the slime mold and incorporates the </w:t>
      </w:r>
      <w:r w:rsidR="00A40B21">
        <w:t>physics of power flows</w:t>
      </w:r>
      <w:r w:rsidR="004D2A1F">
        <w:t xml:space="preserve"> and the idiosyncracies of the power system</w:t>
      </w:r>
      <w:r w:rsidR="00A40B21">
        <w:t>.</w:t>
      </w:r>
    </w:p>
    <w:p w:rsidR="00863B89" w:rsidRPr="00A40B21" w:rsidRDefault="00A40B21" w:rsidP="003542E1">
      <w:pPr>
        <w:pStyle w:val="MDPI38bullet"/>
      </w:pPr>
      <w:r>
        <w:t xml:space="preserve">We demonstrate its performance in a case study that shows that the resulting networks are </w:t>
      </w:r>
      <w:r w:rsidR="00863B89">
        <w:t xml:space="preserve"> consistently good across all case studies and might present some interesting </w:t>
      </w:r>
      <w:r w:rsidR="00863B89" w:rsidRPr="00A40B21">
        <w:t>properties with respect to robustness.</w:t>
      </w:r>
    </w:p>
    <w:p w:rsidR="00863B89" w:rsidRDefault="00863B89" w:rsidP="00863B89">
      <w:pPr>
        <w:pStyle w:val="MDPI31text"/>
      </w:pPr>
      <w:r w:rsidRPr="00A40B21">
        <w:t xml:space="preserve">The rest of this paper is organized as follows. First, </w:t>
      </w:r>
      <w:r w:rsidR="00A82688" w:rsidRPr="00A40B21">
        <w:t>the remaining of this section</w:t>
      </w:r>
      <w:r w:rsidRPr="00A40B21">
        <w:t xml:space="preserve"> </w:t>
      </w:r>
      <w:r w:rsidR="004D2A1F">
        <w:t xml:space="preserve">describes TEP in more detail, as well as the existing works that have applied ABM to other problems in the energy landscape (to the extent of our knowledge, ours is the first application to TEP). Section </w:t>
      </w:r>
      <w:r w:rsidR="00473D7D" w:rsidRPr="00A40B21">
        <w:t xml:space="preserve">2 describes the </w:t>
      </w:r>
      <w:r w:rsidR="004D2A1F">
        <w:t>mold</w:t>
      </w:r>
      <w:r w:rsidR="00473D7D" w:rsidRPr="00A40B21">
        <w:t xml:space="preserve">-inspired ABM. Then, section 3 details the case study that was developed to test the </w:t>
      </w:r>
      <w:r w:rsidR="004D2A1F">
        <w:t>model</w:t>
      </w:r>
      <w:r w:rsidR="00473D7D" w:rsidRPr="00A40B21">
        <w:t>. Section 4 presents the results and discusses them. Finally, section 5</w:t>
      </w:r>
      <w:r w:rsidRPr="00A40B21">
        <w:t xml:space="preserve"> extracts conclusions.</w:t>
      </w:r>
    </w:p>
    <w:p w:rsidR="003542E1" w:rsidRPr="00F4435F" w:rsidRDefault="003542E1" w:rsidP="003542E1">
      <w:pPr>
        <w:pStyle w:val="MDPI22heading2"/>
      </w:pPr>
      <w:r>
        <w:t xml:space="preserve">1.1 </w:t>
      </w:r>
      <w:r w:rsidRPr="0075261E">
        <w:t>Power transmission planning</w:t>
      </w:r>
    </w:p>
    <w:p w:rsidR="003542E1" w:rsidRPr="005B5926" w:rsidRDefault="003542E1" w:rsidP="003542E1">
      <w:pPr>
        <w:pStyle w:val="MDPI31text"/>
      </w:pPr>
      <w:r>
        <w:t>TEP</w:t>
      </w:r>
      <w:r w:rsidRPr="0075261E">
        <w:t xml:space="preserve"> is one of the key decisions in power-systems design, </w:t>
      </w:r>
      <w:r>
        <w:t xml:space="preserve">with deep and long-lasting consequences on system performance. </w:t>
      </w:r>
      <w:r w:rsidRPr="005B5926">
        <w:t>Transmission network planners must select which new lines to add to the network. The lines should be selected based on a cost criterion: the plan should minimize the sum of investment costs and operation costs. Investment costs refer to the cost of building the lines. Operation cost, in this context, refer</w:t>
      </w:r>
      <w:r>
        <w:t>s</w:t>
      </w:r>
      <w:r w:rsidRPr="005B5926">
        <w:t xml:space="preserve"> to the costs of supplying demand with power. The network imposes constraints to the operation of the system, so that in general it is not possible to supply demand using the generator with the lowest cost. This is the case because all power flows are not possible – the maximum capacity of lines must be respected, and the laws of physics</w:t>
      </w:r>
      <w:r>
        <w:t xml:space="preserve"> –which impose additional constraints known as Kirchhoff’s laws-</w:t>
      </w:r>
      <w:r w:rsidRPr="005B5926">
        <w:t xml:space="preserve"> should be abided too. New lines can enable the use of more efficient generators and make operation costs lower.</w:t>
      </w:r>
    </w:p>
    <w:p w:rsidR="003542E1" w:rsidRPr="005B5926" w:rsidRDefault="003542E1" w:rsidP="003542E1">
      <w:pPr>
        <w:pStyle w:val="MDPI31text"/>
      </w:pPr>
      <w:r w:rsidRPr="005B5926">
        <w:t xml:space="preserve">We use a Mixed-Integer Programming formulation based on </w:t>
      </w:r>
      <w:r w:rsidRPr="00C33D31">
        <w:fldChar w:fldCharType="begin"/>
      </w:r>
      <w:r w:rsidRPr="005B5926">
        <w:instrText>ADDIN RW.CITE{{109 Binato,Silvio 2001}}</w:instrText>
      </w:r>
      <w:r w:rsidRPr="00C33D31">
        <w:fldChar w:fldCharType="separate"/>
      </w:r>
      <w:r w:rsidR="009B1A7D">
        <w:t>[8]</w:t>
      </w:r>
      <w:r w:rsidRPr="00C33D31">
        <w:fldChar w:fldCharType="end"/>
      </w:r>
      <w:r w:rsidRPr="005B5926">
        <w:t xml:space="preserve"> that describes the impact of the network on physical power flows and system operation. We incorporate the possibility of taking into account different situations (regarding </w:t>
      </w:r>
      <w:r>
        <w:t xml:space="preserve">for instance </w:t>
      </w:r>
      <w:r w:rsidRPr="005B5926">
        <w:t>fuel prices, hydro inflows or renewable generation) by means of the index ω. We reproduce a simplified version of the formulation below.</w:t>
      </w:r>
    </w:p>
    <w:p w:rsidR="003542E1" w:rsidRDefault="003542E1" w:rsidP="003542E1">
      <w:pPr>
        <w:pStyle w:val="MDPI31text"/>
      </w:pPr>
      <w:r w:rsidRPr="005B5926">
        <w:t>The objective function minimizes total cost, compos</w:t>
      </w:r>
      <w:r>
        <w:t>ed of investment and operation costs</w:t>
      </w:r>
      <w:r w:rsidRPr="005B5926">
        <w:t>:</w:t>
      </w:r>
    </w:p>
    <w:tbl>
      <w:tblPr>
        <w:tblW w:w="5000" w:type="pct"/>
        <w:jc w:val="center"/>
        <w:tblCellMar>
          <w:left w:w="0" w:type="dxa"/>
          <w:right w:w="0" w:type="dxa"/>
        </w:tblCellMar>
        <w:tblLook w:val="04A0" w:firstRow="1" w:lastRow="0" w:firstColumn="1" w:lastColumn="0" w:noHBand="0" w:noVBand="1"/>
      </w:tblPr>
      <w:tblGrid>
        <w:gridCol w:w="8409"/>
        <w:gridCol w:w="435"/>
      </w:tblGrid>
      <w:tr w:rsidR="003542E1" w:rsidRPr="00997F64" w:rsidTr="00C97B8F">
        <w:trPr>
          <w:jc w:val="center"/>
        </w:trPr>
        <w:tc>
          <w:tcPr>
            <w:tcW w:w="4754" w:type="pct"/>
            <w:shd w:val="clear" w:color="auto" w:fill="auto"/>
          </w:tcPr>
          <w:p w:rsidR="003542E1" w:rsidRPr="00FE2D94" w:rsidRDefault="00D1724E" w:rsidP="00C97B8F">
            <w:pPr>
              <w:pStyle w:val="MDPI39equation"/>
            </w:pPr>
            <m:oMath>
              <m:func>
                <m:funcPr>
                  <m:ctrlPr>
                    <w:rPr>
                      <w:rFonts w:ascii="Cambria Math" w:hAnsi="Cambria Math"/>
                    </w:rPr>
                  </m:ctrlPr>
                </m:funcPr>
                <m:fName>
                  <m:r>
                    <m:rPr>
                      <m:sty m:val="p"/>
                    </m:rPr>
                    <w:rPr>
                      <w:rFonts w:ascii="Cambria Math" w:hAnsi="Cambria Math"/>
                    </w:rPr>
                    <m:t>min</m:t>
                  </m:r>
                </m:fName>
                <m:e>
                  <m:r>
                    <m:rPr>
                      <m:sty m:val="p"/>
                    </m:rPr>
                    <w:rPr>
                      <w:rFonts w:ascii="Cambria Math" w:hAnsi="Cambria Math"/>
                    </w:rPr>
                    <m:t>InvC+∑</m:t>
                  </m:r>
                  <m:sSup>
                    <m:sSupPr>
                      <m:ctrlPr>
                        <w:rPr>
                          <w:rFonts w:ascii="Cambria Math" w:hAnsi="Cambria Math"/>
                        </w:rPr>
                      </m:ctrlPr>
                    </m:sSupPr>
                    <m:e>
                      <m:r>
                        <m:rPr>
                          <m:sty m:val="p"/>
                        </m:rPr>
                        <w:rPr>
                          <w:rFonts w:ascii="Cambria Math" w:hAnsi="Cambria Math"/>
                        </w:rPr>
                        <m:t>P</m:t>
                      </m:r>
                    </m:e>
                    <m:sup>
                      <m:r>
                        <m:rPr>
                          <m:sty m:val="p"/>
                        </m:rPr>
                        <w:rPr>
                          <w:rFonts w:ascii="Cambria Math" w:hAnsi="Cambria Math"/>
                        </w:rPr>
                        <m:t>ω</m:t>
                      </m:r>
                    </m:sup>
                  </m:sSup>
                  <m:sSup>
                    <m:sSupPr>
                      <m:ctrlPr>
                        <w:rPr>
                          <w:rFonts w:ascii="Cambria Math" w:hAnsi="Cambria Math"/>
                        </w:rPr>
                      </m:ctrlPr>
                    </m:sSupPr>
                    <m:e>
                      <m:r>
                        <m:rPr>
                          <m:sty m:val="p"/>
                        </m:rPr>
                        <w:rPr>
                          <w:rFonts w:ascii="Cambria Math" w:hAnsi="Cambria Math"/>
                        </w:rPr>
                        <m:t>Dur</m:t>
                      </m:r>
                    </m:e>
                    <m:sup>
                      <m:r>
                        <m:rPr>
                          <m:sty m:val="p"/>
                        </m:rPr>
                        <w:rPr>
                          <w:rFonts w:ascii="Cambria Math" w:hAnsi="Cambria Math"/>
                        </w:rPr>
                        <m:t>ω</m:t>
                      </m:r>
                    </m:sup>
                  </m:sSup>
                  <m:sSup>
                    <m:sSupPr>
                      <m:ctrlPr>
                        <w:rPr>
                          <w:rFonts w:ascii="Cambria Math" w:hAnsi="Cambria Math"/>
                        </w:rPr>
                      </m:ctrlPr>
                    </m:sSupPr>
                    <m:e>
                      <m:r>
                        <m:rPr>
                          <m:sty m:val="p"/>
                        </m:rPr>
                        <w:rPr>
                          <w:rFonts w:ascii="Cambria Math" w:hAnsi="Cambria Math"/>
                        </w:rPr>
                        <m:t>OpC</m:t>
                      </m:r>
                    </m:e>
                    <m:sup>
                      <m:r>
                        <m:rPr>
                          <m:sty m:val="p"/>
                        </m:rPr>
                        <w:rPr>
                          <w:rFonts w:ascii="Cambria Math" w:hAnsi="Cambria Math"/>
                        </w:rPr>
                        <m:t>ω</m:t>
                      </m:r>
                    </m:sup>
                  </m:sSup>
                </m:e>
              </m:func>
            </m:oMath>
            <w:r w:rsidR="003542E1" w:rsidRPr="00FE2D94">
              <w:t>,</w:t>
            </w:r>
          </w:p>
        </w:tc>
        <w:tc>
          <w:tcPr>
            <w:tcW w:w="246" w:type="pct"/>
            <w:shd w:val="clear" w:color="auto" w:fill="auto"/>
            <w:vAlign w:val="center"/>
          </w:tcPr>
          <w:p w:rsidR="003542E1" w:rsidRPr="00997F64" w:rsidRDefault="003542E1" w:rsidP="00C97B8F">
            <w:pPr>
              <w:pStyle w:val="MDPI3aequationnumber"/>
              <w:spacing w:line="260" w:lineRule="atLeast"/>
            </w:pPr>
            <w:r w:rsidRPr="00997F64">
              <w:t>(1)</w:t>
            </w:r>
          </w:p>
        </w:tc>
      </w:tr>
    </w:tbl>
    <w:p w:rsidR="003542E1" w:rsidRPr="005B5926" w:rsidRDefault="003542E1" w:rsidP="003542E1">
      <w:pPr>
        <w:pStyle w:val="MDPI31text"/>
      </w:pPr>
      <w:r w:rsidRPr="005B5926">
        <w:t xml:space="preserve">where </w:t>
      </w:r>
      <m:oMath>
        <m:r>
          <m:rPr>
            <m:sty m:val="p"/>
          </m:rPr>
          <w:rPr>
            <w:rFonts w:ascii="Cambria Math" w:hAnsi="Cambria Math"/>
          </w:rPr>
          <m:t>InvC</m:t>
        </m:r>
      </m:oMath>
      <w:r w:rsidRPr="005B5926">
        <w:t xml:space="preserve"> is the investment cost, </w:t>
      </w:r>
      <m:oMath>
        <m:sSup>
          <m:sSupPr>
            <m:ctrlPr>
              <w:rPr>
                <w:rFonts w:ascii="Cambria Math" w:hAnsi="Cambria Math"/>
              </w:rPr>
            </m:ctrlPr>
          </m:sSupPr>
          <m:e>
            <m:r>
              <m:rPr>
                <m:sty m:val="p"/>
              </m:rPr>
              <w:rPr>
                <w:rFonts w:ascii="Cambria Math" w:hAnsi="Cambria Math"/>
              </w:rPr>
              <m:t>P</m:t>
            </m:r>
          </m:e>
          <m:sup>
            <m:r>
              <m:rPr>
                <m:sty m:val="p"/>
              </m:rPr>
              <w:rPr>
                <w:rFonts w:ascii="Cambria Math" w:hAnsi="Cambria Math"/>
              </w:rPr>
              <m:t>ω</m:t>
            </m:r>
          </m:sup>
        </m:sSup>
        <m:r>
          <w:rPr>
            <w:rFonts w:ascii="Cambria Math" w:hAnsi="Cambria Math"/>
          </w:rPr>
          <m:t xml:space="preserve"> </m:t>
        </m:r>
      </m:oMath>
      <w:r w:rsidRPr="005B5926">
        <w:t xml:space="preserve">is the probability of the scenarios ω [pu], </w:t>
      </w:r>
      <m:oMath>
        <m:sSup>
          <m:sSupPr>
            <m:ctrlPr>
              <w:rPr>
                <w:rFonts w:ascii="Cambria Math" w:hAnsi="Cambria Math"/>
              </w:rPr>
            </m:ctrlPr>
          </m:sSupPr>
          <m:e>
            <m:r>
              <m:rPr>
                <m:sty m:val="p"/>
              </m:rPr>
              <w:rPr>
                <w:rFonts w:ascii="Cambria Math" w:hAnsi="Cambria Math"/>
              </w:rPr>
              <m:t>Dur</m:t>
            </m:r>
          </m:e>
          <m:sup>
            <m:r>
              <m:rPr>
                <m:sty m:val="p"/>
              </m:rPr>
              <w:rPr>
                <w:rFonts w:ascii="Cambria Math" w:hAnsi="Cambria Math"/>
              </w:rPr>
              <m:t>ω</m:t>
            </m:r>
          </m:sup>
        </m:sSup>
      </m:oMath>
      <w:r w:rsidRPr="005B5926">
        <w:t xml:space="preserve">is the duration of the scenarios [h] and </w:t>
      </w:r>
      <m:oMath>
        <m:sSup>
          <m:sSupPr>
            <m:ctrlPr>
              <w:rPr>
                <w:rFonts w:ascii="Cambria Math" w:hAnsi="Cambria Math"/>
              </w:rPr>
            </m:ctrlPr>
          </m:sSupPr>
          <m:e>
            <m:r>
              <m:rPr>
                <m:sty m:val="p"/>
              </m:rPr>
              <w:rPr>
                <w:rFonts w:ascii="Cambria Math" w:hAnsi="Cambria Math"/>
              </w:rPr>
              <m:t>OpC</m:t>
            </m:r>
          </m:e>
          <m:sup>
            <m:r>
              <m:rPr>
                <m:sty m:val="p"/>
              </m:rPr>
              <w:rPr>
                <w:rFonts w:ascii="Cambria Math" w:hAnsi="Cambria Math"/>
              </w:rPr>
              <m:t>ω</m:t>
            </m:r>
          </m:sup>
        </m:sSup>
      </m:oMath>
      <w:r w:rsidRPr="005B5926">
        <w:t xml:space="preserve"> is the operation cost associated to the scenarios</w:t>
      </w:r>
      <w:r>
        <w:t xml:space="preserve"> [€]</w:t>
      </w:r>
      <w:r w:rsidRPr="005B5926">
        <w:t>.</w:t>
      </w:r>
    </w:p>
    <w:p w:rsidR="003542E1" w:rsidRDefault="003542E1" w:rsidP="003542E1">
      <w:pPr>
        <w:pStyle w:val="MDPI31text"/>
      </w:pPr>
      <w:r w:rsidRPr="005B5926">
        <w:t>Investment</w:t>
      </w:r>
      <w:r>
        <w:t xml:space="preserve"> [€]</w:t>
      </w:r>
      <w:r w:rsidRPr="005B5926">
        <w:t xml:space="preserve"> cost is calculated as the weighted sum of the planned investments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ijc</m:t>
            </m:r>
          </m:sub>
        </m:sSub>
      </m:oMath>
      <w:r w:rsidRPr="005B5926">
        <w:t xml:space="preserve"> and their associated costs </w:t>
      </w:r>
      <m:oMath>
        <m:sSub>
          <m:sSubPr>
            <m:ctrlPr>
              <w:rPr>
                <w:rFonts w:ascii="Cambria Math" w:hAnsi="Cambria Math"/>
              </w:rPr>
            </m:ctrlPr>
          </m:sSubPr>
          <m:e>
            <m:r>
              <m:rPr>
                <m:sty m:val="p"/>
              </m:rPr>
              <w:rPr>
                <w:rFonts w:ascii="Cambria Math" w:hAnsi="Cambria Math"/>
              </w:rPr>
              <m:t>Ic</m:t>
            </m:r>
          </m:e>
          <m:sub>
            <m:r>
              <m:rPr>
                <m:sty m:val="p"/>
              </m:rPr>
              <w:rPr>
                <w:rFonts w:ascii="Cambria Math" w:hAnsi="Cambria Math"/>
              </w:rPr>
              <m:t>ijc</m:t>
            </m:r>
          </m:sub>
        </m:sSub>
      </m:oMath>
      <w:r>
        <w:t xml:space="preserve"> [€]</w:t>
      </w:r>
      <w:r w:rsidRPr="005B5926">
        <w:t>:</w:t>
      </w:r>
    </w:p>
    <w:tbl>
      <w:tblPr>
        <w:tblW w:w="5000" w:type="pct"/>
        <w:jc w:val="center"/>
        <w:tblCellMar>
          <w:left w:w="0" w:type="dxa"/>
          <w:right w:w="0" w:type="dxa"/>
        </w:tblCellMar>
        <w:tblLook w:val="04A0" w:firstRow="1" w:lastRow="0" w:firstColumn="1" w:lastColumn="0" w:noHBand="0" w:noVBand="1"/>
      </w:tblPr>
      <w:tblGrid>
        <w:gridCol w:w="8409"/>
        <w:gridCol w:w="435"/>
      </w:tblGrid>
      <w:tr w:rsidR="003542E1" w:rsidRPr="00997F64" w:rsidTr="00C97B8F">
        <w:trPr>
          <w:jc w:val="center"/>
        </w:trPr>
        <w:tc>
          <w:tcPr>
            <w:tcW w:w="4754" w:type="pct"/>
            <w:shd w:val="clear" w:color="auto" w:fill="auto"/>
          </w:tcPr>
          <w:p w:rsidR="003542E1" w:rsidRPr="00997F64" w:rsidRDefault="003542E1" w:rsidP="00C97B8F">
            <w:pPr>
              <w:pStyle w:val="MDPI39equation"/>
            </w:pPr>
            <m:oMath>
              <m:r>
                <m:rPr>
                  <m:sty m:val="p"/>
                </m:rPr>
                <w:rPr>
                  <w:rFonts w:ascii="Cambria Math" w:hAnsi="Cambria Math"/>
                </w:rPr>
                <w:lastRenderedPageBreak/>
                <m:t>InvC=</m:t>
              </m:r>
              <m:nary>
                <m:naryPr>
                  <m:chr m:val="∑"/>
                  <m:limLoc m:val="undOvr"/>
                  <m:supHide m:val="1"/>
                  <m:ctrlPr>
                    <w:rPr>
                      <w:rFonts w:ascii="Cambria Math" w:hAnsi="Cambria Math"/>
                    </w:rPr>
                  </m:ctrlPr>
                </m:naryPr>
                <m:sub>
                  <m:r>
                    <m:rPr>
                      <m:sty m:val="p"/>
                    </m:rPr>
                    <w:rPr>
                      <w:rFonts w:ascii="Cambria Math" w:hAnsi="Cambria Math"/>
                    </w:rPr>
                    <m:t>ijc</m:t>
                  </m:r>
                </m:sub>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ijc</m:t>
                      </m:r>
                    </m:sub>
                  </m:sSub>
                  <m:sSub>
                    <m:sSubPr>
                      <m:ctrlPr>
                        <w:rPr>
                          <w:rFonts w:ascii="Cambria Math" w:hAnsi="Cambria Math"/>
                        </w:rPr>
                      </m:ctrlPr>
                    </m:sSubPr>
                    <m:e>
                      <m:r>
                        <m:rPr>
                          <m:sty m:val="p"/>
                        </m:rPr>
                        <w:rPr>
                          <w:rFonts w:ascii="Cambria Math" w:hAnsi="Cambria Math"/>
                        </w:rPr>
                        <m:t>Ic</m:t>
                      </m:r>
                    </m:e>
                    <m:sub>
                      <m:r>
                        <m:rPr>
                          <m:sty m:val="p"/>
                        </m:rPr>
                        <w:rPr>
                          <w:rFonts w:ascii="Cambria Math" w:hAnsi="Cambria Math"/>
                        </w:rPr>
                        <m:t>ijc</m:t>
                      </m:r>
                    </m:sub>
                  </m:sSub>
                </m:e>
              </m:nary>
            </m:oMath>
            <w:r w:rsidRPr="00997F64">
              <w:t>,</w:t>
            </w:r>
          </w:p>
        </w:tc>
        <w:tc>
          <w:tcPr>
            <w:tcW w:w="246" w:type="pct"/>
            <w:shd w:val="clear" w:color="auto" w:fill="auto"/>
            <w:vAlign w:val="center"/>
          </w:tcPr>
          <w:p w:rsidR="003542E1" w:rsidRPr="00997F64" w:rsidRDefault="003542E1" w:rsidP="00C97B8F">
            <w:pPr>
              <w:pStyle w:val="MDPI3aequationnumber"/>
              <w:spacing w:line="260" w:lineRule="atLeast"/>
            </w:pPr>
            <w:r>
              <w:t>(2</w:t>
            </w:r>
            <w:r w:rsidRPr="00997F64">
              <w:t>)</w:t>
            </w:r>
          </w:p>
        </w:tc>
      </w:tr>
    </w:tbl>
    <w:p w:rsidR="003542E1" w:rsidRPr="005B5926" w:rsidRDefault="003542E1" w:rsidP="003542E1">
      <w:pPr>
        <w:pStyle w:val="MDPI31text"/>
      </w:pPr>
      <w:r w:rsidRPr="005B5926">
        <w:t>where i and j are nodes in the network and c are cable types. It should be noted that this formulation allows installing fractions of a line at a proportion of their cost (Ic &lt; 1).</w:t>
      </w:r>
    </w:p>
    <w:p w:rsidR="003542E1" w:rsidRDefault="003542E1" w:rsidP="003542E1">
      <w:pPr>
        <w:pStyle w:val="MDPI31text"/>
      </w:pPr>
      <w:r w:rsidRPr="005B5926">
        <w:t>Operation cost is the sum of generation cost and not served power penalties:</w:t>
      </w:r>
    </w:p>
    <w:tbl>
      <w:tblPr>
        <w:tblW w:w="5000" w:type="pct"/>
        <w:jc w:val="center"/>
        <w:tblCellMar>
          <w:left w:w="0" w:type="dxa"/>
          <w:right w:w="0" w:type="dxa"/>
        </w:tblCellMar>
        <w:tblLook w:val="04A0" w:firstRow="1" w:lastRow="0" w:firstColumn="1" w:lastColumn="0" w:noHBand="0" w:noVBand="1"/>
      </w:tblPr>
      <w:tblGrid>
        <w:gridCol w:w="8409"/>
        <w:gridCol w:w="435"/>
      </w:tblGrid>
      <w:tr w:rsidR="003542E1" w:rsidRPr="00997F64" w:rsidTr="00C97B8F">
        <w:trPr>
          <w:jc w:val="center"/>
        </w:trPr>
        <w:tc>
          <w:tcPr>
            <w:tcW w:w="4754" w:type="pct"/>
            <w:shd w:val="clear" w:color="auto" w:fill="auto"/>
          </w:tcPr>
          <w:p w:rsidR="003542E1" w:rsidRPr="00997F64" w:rsidRDefault="00D1724E" w:rsidP="00C97B8F">
            <w:pPr>
              <w:pStyle w:val="MDPI39equation"/>
            </w:pPr>
            <m:oMath>
              <m:sSup>
                <m:sSupPr>
                  <m:ctrlPr>
                    <w:rPr>
                      <w:rFonts w:ascii="Cambria Math" w:hAnsi="Cambria Math"/>
                    </w:rPr>
                  </m:ctrlPr>
                </m:sSupPr>
                <m:e>
                  <m:r>
                    <m:rPr>
                      <m:sty m:val="p"/>
                    </m:rPr>
                    <w:rPr>
                      <w:rFonts w:ascii="Cambria Math" w:hAnsi="Cambria Math"/>
                    </w:rPr>
                    <m:t>OpC</m:t>
                  </m:r>
                </m:e>
                <m:sup>
                  <m:r>
                    <m:rPr>
                      <m:sty m:val="p"/>
                    </m:rPr>
                    <w:rPr>
                      <w:rFonts w:ascii="Cambria Math" w:hAnsi="Cambria Math"/>
                    </w:rPr>
                    <m:t>ω</m:t>
                  </m:r>
                </m:sup>
              </m:sSup>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i</m:t>
                  </m:r>
                </m:sub>
                <m:sup/>
                <m:e>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i</m:t>
                      </m:r>
                    </m:sub>
                    <m:sup>
                      <m:r>
                        <m:rPr>
                          <m:sty m:val="p"/>
                        </m:rPr>
                        <w:rPr>
                          <w:rFonts w:ascii="Cambria Math" w:hAnsi="Cambria Math"/>
                        </w:rPr>
                        <m:t>ω</m:t>
                      </m:r>
                    </m:sup>
                  </m:sSubSup>
                  <m:sSubSup>
                    <m:sSubSupPr>
                      <m:ctrlPr>
                        <w:rPr>
                          <w:rFonts w:ascii="Cambria Math" w:hAnsi="Cambria Math"/>
                        </w:rPr>
                      </m:ctrlPr>
                    </m:sSubSupPr>
                    <m:e>
                      <m:r>
                        <m:rPr>
                          <m:sty m:val="p"/>
                        </m:rPr>
                        <w:rPr>
                          <w:rFonts w:ascii="Cambria Math" w:hAnsi="Cambria Math"/>
                        </w:rPr>
                        <m:t>Gc</m:t>
                      </m:r>
                    </m:e>
                    <m:sub>
                      <m:r>
                        <m:rPr>
                          <m:sty m:val="p"/>
                        </m:rPr>
                        <w:rPr>
                          <w:rFonts w:ascii="Cambria Math" w:hAnsi="Cambria Math"/>
                        </w:rPr>
                        <m:t>i</m:t>
                      </m:r>
                    </m:sub>
                    <m:sup>
                      <m:r>
                        <m:rPr>
                          <m:sty m:val="p"/>
                        </m:rPr>
                        <w:rPr>
                          <w:rFonts w:ascii="Cambria Math" w:hAnsi="Cambria Math"/>
                        </w:rPr>
                        <m:t>ω</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pns</m:t>
                      </m:r>
                    </m:e>
                    <m:sub>
                      <m:r>
                        <m:rPr>
                          <m:sty m:val="p"/>
                        </m:rPr>
                        <w:rPr>
                          <w:rFonts w:ascii="Cambria Math" w:hAnsi="Cambria Math"/>
                        </w:rPr>
                        <m:t>i</m:t>
                      </m:r>
                    </m:sub>
                    <m:sup>
                      <m:r>
                        <m:rPr>
                          <m:sty m:val="p"/>
                        </m:rPr>
                        <w:rPr>
                          <w:rFonts w:ascii="Cambria Math" w:hAnsi="Cambria Math"/>
                        </w:rPr>
                        <m:t>ω</m:t>
                      </m:r>
                    </m:sup>
                  </m:sSubSup>
                  <m:r>
                    <m:rPr>
                      <m:sty m:val="p"/>
                    </m:rPr>
                    <w:rPr>
                      <w:rFonts w:ascii="Cambria Math" w:hAnsi="Cambria Math"/>
                    </w:rPr>
                    <m:t>Cpns</m:t>
                  </m:r>
                </m:e>
              </m:nary>
            </m:oMath>
            <w:r w:rsidR="003542E1" w:rsidRPr="00997F64">
              <w:t>,</w:t>
            </w:r>
          </w:p>
        </w:tc>
        <w:tc>
          <w:tcPr>
            <w:tcW w:w="246" w:type="pct"/>
            <w:shd w:val="clear" w:color="auto" w:fill="auto"/>
            <w:vAlign w:val="center"/>
          </w:tcPr>
          <w:p w:rsidR="003542E1" w:rsidRPr="00997F64" w:rsidRDefault="003542E1" w:rsidP="00C97B8F">
            <w:pPr>
              <w:pStyle w:val="MDPI3aequationnumber"/>
              <w:spacing w:line="260" w:lineRule="atLeast"/>
            </w:pPr>
            <w:r>
              <w:t>(3</w:t>
            </w:r>
            <w:r w:rsidRPr="00997F64">
              <w:t>)</w:t>
            </w:r>
          </w:p>
        </w:tc>
      </w:tr>
    </w:tbl>
    <w:p w:rsidR="003542E1" w:rsidRPr="005B5926" w:rsidRDefault="003542E1" w:rsidP="003542E1">
      <w:pPr>
        <w:pStyle w:val="MDPI31text"/>
      </w:pPr>
      <w:r w:rsidRPr="005B5926">
        <w:t xml:space="preserve">where </w:t>
      </w:r>
      <m:oMath>
        <m:sSup>
          <m:sSupPr>
            <m:ctrlPr>
              <w:rPr>
                <w:rFonts w:ascii="Cambria Math" w:hAnsi="Cambria Math"/>
              </w:rPr>
            </m:ctrlPr>
          </m:sSupPr>
          <m:e>
            <m:r>
              <m:rPr>
                <m:sty m:val="p"/>
              </m:rPr>
              <w:rPr>
                <w:rFonts w:ascii="Cambria Math" w:hAnsi="Cambria Math"/>
              </w:rPr>
              <m:t>OpC</m:t>
            </m:r>
          </m:e>
          <m:sup>
            <m:r>
              <m:rPr>
                <m:sty m:val="p"/>
              </m:rPr>
              <w:rPr>
                <w:rFonts w:ascii="Cambria Math" w:hAnsi="Cambria Math"/>
              </w:rPr>
              <m:t>ω</m:t>
            </m:r>
          </m:sup>
        </m:sSup>
      </m:oMath>
      <w:r w:rsidRPr="005B5926">
        <w:t xml:space="preserve"> is the operation cost of an scenario,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i</m:t>
            </m:r>
          </m:sub>
          <m:sup>
            <m:r>
              <m:rPr>
                <m:sty m:val="p"/>
              </m:rPr>
              <w:rPr>
                <w:rFonts w:ascii="Cambria Math" w:hAnsi="Cambria Math"/>
              </w:rPr>
              <m:t>ω</m:t>
            </m:r>
          </m:sup>
        </m:sSubSup>
        <m:r>
          <w:rPr>
            <w:rFonts w:ascii="Cambria Math" w:hAnsi="Cambria Math"/>
          </w:rPr>
          <m:t xml:space="preserve"> </m:t>
        </m:r>
      </m:oMath>
      <w:r w:rsidRPr="005B5926">
        <w:t xml:space="preserve">is the power generated at a node and scenario [MW], </w:t>
      </w:r>
      <m:oMath>
        <m:sSubSup>
          <m:sSubSupPr>
            <m:ctrlPr>
              <w:rPr>
                <w:rFonts w:ascii="Cambria Math" w:hAnsi="Cambria Math"/>
              </w:rPr>
            </m:ctrlPr>
          </m:sSubSupPr>
          <m:e>
            <m:r>
              <m:rPr>
                <m:sty m:val="p"/>
              </m:rPr>
              <w:rPr>
                <w:rFonts w:ascii="Cambria Math" w:hAnsi="Cambria Math"/>
              </w:rPr>
              <m:t>Gc</m:t>
            </m:r>
          </m:e>
          <m:sub>
            <m:r>
              <m:rPr>
                <m:sty m:val="p"/>
              </m:rPr>
              <w:rPr>
                <w:rFonts w:ascii="Cambria Math" w:hAnsi="Cambria Math"/>
              </w:rPr>
              <m:t>i</m:t>
            </m:r>
          </m:sub>
          <m:sup>
            <m:r>
              <m:rPr>
                <m:sty m:val="p"/>
              </m:rPr>
              <w:rPr>
                <w:rFonts w:ascii="Cambria Math" w:hAnsi="Cambria Math"/>
              </w:rPr>
              <m:t>ω</m:t>
            </m:r>
          </m:sup>
        </m:sSubSup>
        <m:r>
          <w:rPr>
            <w:rFonts w:ascii="Cambria Math" w:hAnsi="Cambria Math"/>
          </w:rPr>
          <m:t xml:space="preserve"> </m:t>
        </m:r>
      </m:oMath>
      <w:r w:rsidRPr="005B5926">
        <w:t xml:space="preserve">is the generation cost at a node and scenario [M€/MWh], </w:t>
      </w:r>
      <m:oMath>
        <m:sSubSup>
          <m:sSubSupPr>
            <m:ctrlPr>
              <w:rPr>
                <w:rFonts w:ascii="Cambria Math" w:hAnsi="Cambria Math"/>
              </w:rPr>
            </m:ctrlPr>
          </m:sSubSupPr>
          <m:e>
            <m:r>
              <m:rPr>
                <m:sty m:val="p"/>
              </m:rPr>
              <w:rPr>
                <w:rFonts w:ascii="Cambria Math" w:hAnsi="Cambria Math"/>
              </w:rPr>
              <m:t>pns</m:t>
            </m:r>
          </m:e>
          <m:sub>
            <m:r>
              <m:rPr>
                <m:sty m:val="p"/>
              </m:rPr>
              <w:rPr>
                <w:rFonts w:ascii="Cambria Math" w:hAnsi="Cambria Math"/>
              </w:rPr>
              <m:t>i</m:t>
            </m:r>
          </m:sub>
          <m:sup>
            <m:r>
              <m:rPr>
                <m:sty m:val="p"/>
              </m:rPr>
              <w:rPr>
                <w:rFonts w:ascii="Cambria Math" w:hAnsi="Cambria Math"/>
              </w:rPr>
              <m:t>ω</m:t>
            </m:r>
          </m:sup>
        </m:sSubSup>
      </m:oMath>
      <w:r w:rsidRPr="005B5926">
        <w:t xml:space="preserve"> is PNS, </w:t>
      </w:r>
      <w:r>
        <w:t>Power Not S</w:t>
      </w:r>
      <w:r w:rsidRPr="005B5926">
        <w:t xml:space="preserve">erved at a node (which represents demand that could not be met) [MW] and </w:t>
      </w:r>
      <m:oMath>
        <m:r>
          <m:rPr>
            <m:sty m:val="p"/>
          </m:rPr>
          <w:rPr>
            <w:rFonts w:ascii="Cambria Math" w:hAnsi="Cambria Math"/>
          </w:rPr>
          <m:t>Cpns</m:t>
        </m:r>
      </m:oMath>
      <w:r w:rsidRPr="005B5926">
        <w:t xml:space="preserve"> is the penalty parameter associated to this unmet demand [M€/MWh].</w:t>
      </w:r>
    </w:p>
    <w:p w:rsidR="003542E1" w:rsidRDefault="003542E1" w:rsidP="003542E1">
      <w:pPr>
        <w:pStyle w:val="MDPI31text"/>
      </w:pPr>
      <w:r w:rsidRPr="005B5926">
        <w:t xml:space="preserve">A DC Power Flow (DCPF) </w:t>
      </w:r>
      <w:r>
        <w:t xml:space="preserve">is a model that </w:t>
      </w:r>
      <w:r w:rsidRPr="005B5926">
        <w:t>describes the physical power flows through the network by modeling a linear version of Kirchhoff’s laws. The first Kirchhoff’s law establishes that power must be balanced at every node (inputs equal outputs).</w:t>
      </w:r>
    </w:p>
    <w:tbl>
      <w:tblPr>
        <w:tblW w:w="5000" w:type="pct"/>
        <w:jc w:val="center"/>
        <w:tblCellMar>
          <w:left w:w="0" w:type="dxa"/>
          <w:right w:w="0" w:type="dxa"/>
        </w:tblCellMar>
        <w:tblLook w:val="04A0" w:firstRow="1" w:lastRow="0" w:firstColumn="1" w:lastColumn="0" w:noHBand="0" w:noVBand="1"/>
      </w:tblPr>
      <w:tblGrid>
        <w:gridCol w:w="8409"/>
        <w:gridCol w:w="435"/>
      </w:tblGrid>
      <w:tr w:rsidR="003542E1" w:rsidRPr="00997F64" w:rsidTr="00C97B8F">
        <w:trPr>
          <w:jc w:val="center"/>
        </w:trPr>
        <w:tc>
          <w:tcPr>
            <w:tcW w:w="4754" w:type="pct"/>
            <w:shd w:val="clear" w:color="auto" w:fill="auto"/>
          </w:tcPr>
          <w:p w:rsidR="003542E1" w:rsidRPr="00997F64" w:rsidRDefault="00D1724E" w:rsidP="00C97B8F">
            <w:pPr>
              <w:pStyle w:val="MDPI39equation"/>
            </w:pPr>
            <m:oMath>
              <m:nary>
                <m:naryPr>
                  <m:chr m:val="∑"/>
                  <m:limLoc m:val="undOvr"/>
                  <m:supHide m:val="1"/>
                  <m:ctrlPr>
                    <w:rPr>
                      <w:rFonts w:ascii="Cambria Math" w:hAnsi="Cambria Math"/>
                    </w:rPr>
                  </m:ctrlPr>
                </m:naryPr>
                <m:sub>
                  <m:r>
                    <m:rPr>
                      <m:sty m:val="p"/>
                    </m:rPr>
                    <w:rPr>
                      <w:rFonts w:ascii="Cambria Math" w:hAnsi="Cambria Math"/>
                    </w:rPr>
                    <m:t>ji</m:t>
                  </m:r>
                </m:sub>
                <m:sup/>
                <m:e>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ji</m:t>
                      </m:r>
                    </m:sub>
                    <m:sup>
                      <m:r>
                        <m:rPr>
                          <m:sty m:val="p"/>
                        </m:rPr>
                        <w:rPr>
                          <w:rFonts w:ascii="Cambria Math" w:hAnsi="Cambria Math"/>
                        </w:rPr>
                        <m:t>ω</m:t>
                      </m:r>
                    </m:sup>
                  </m:sSubSup>
                </m:e>
              </m:nary>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ij</m:t>
                  </m:r>
                </m:sub>
                <m:sup/>
                <m:e>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ij</m:t>
                      </m:r>
                    </m:sub>
                    <m:sup>
                      <m:r>
                        <m:rPr>
                          <m:sty m:val="p"/>
                        </m:rPr>
                        <w:rPr>
                          <w:rFonts w:ascii="Cambria Math" w:hAnsi="Cambria Math"/>
                        </w:rPr>
                        <m:t>ω</m:t>
                      </m:r>
                    </m:sup>
                  </m:sSubSup>
                  <m:r>
                    <m:rPr>
                      <m:sty m:val="p"/>
                    </m:rPr>
                    <w:rPr>
                      <w:rFonts w:ascii="Cambria Math" w:hAnsi="Cambria Math"/>
                    </w:rPr>
                    <m:t>+</m:t>
                  </m:r>
                </m:e>
              </m:nary>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i</m:t>
                  </m:r>
                </m:sub>
                <m:sup>
                  <m:r>
                    <m:rPr>
                      <m:sty m:val="p"/>
                    </m:rPr>
                    <w:rPr>
                      <w:rFonts w:ascii="Cambria Math" w:hAnsi="Cambria Math"/>
                    </w:rPr>
                    <m:t>ω</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i</m:t>
                  </m:r>
                </m:sub>
                <m:sup>
                  <m:r>
                    <m:rPr>
                      <m:sty m:val="p"/>
                    </m:rPr>
                    <w:rPr>
                      <w:rFonts w:ascii="Cambria Math" w:hAnsi="Cambria Math"/>
                    </w:rPr>
                    <m:t>ω</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pns</m:t>
                  </m:r>
                </m:e>
                <m:sub>
                  <m:r>
                    <m:rPr>
                      <m:sty m:val="p"/>
                    </m:rPr>
                    <w:rPr>
                      <w:rFonts w:ascii="Cambria Math" w:hAnsi="Cambria Math"/>
                    </w:rPr>
                    <m:t>i</m:t>
                  </m:r>
                </m:sub>
                <m:sup>
                  <m:r>
                    <m:rPr>
                      <m:sty m:val="p"/>
                    </m:rPr>
                    <w:rPr>
                      <w:rFonts w:ascii="Cambria Math" w:hAnsi="Cambria Math"/>
                    </w:rPr>
                    <m:t>ω</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i</m:t>
                  </m:r>
                </m:sub>
                <m:sup>
                  <m:r>
                    <m:rPr>
                      <m:sty m:val="p"/>
                    </m:rPr>
                    <w:rPr>
                      <w:rFonts w:ascii="Cambria Math" w:hAnsi="Cambria Math"/>
                    </w:rPr>
                    <m:t>ω</m:t>
                  </m:r>
                </m:sup>
              </m:sSubSup>
              <m:r>
                <m:rPr>
                  <m:sty m:val="p"/>
                </m:rPr>
                <w:rPr>
                  <w:rFonts w:ascii="Cambria Math" w:hAnsi="Cambria Math"/>
                </w:rPr>
                <m:t xml:space="preserve">      ∀i,ω</m:t>
              </m:r>
            </m:oMath>
            <w:r w:rsidR="003542E1" w:rsidRPr="00997F64">
              <w:t>,</w:t>
            </w:r>
          </w:p>
        </w:tc>
        <w:tc>
          <w:tcPr>
            <w:tcW w:w="246" w:type="pct"/>
            <w:shd w:val="clear" w:color="auto" w:fill="auto"/>
            <w:vAlign w:val="center"/>
          </w:tcPr>
          <w:p w:rsidR="003542E1" w:rsidRPr="00997F64" w:rsidRDefault="003542E1" w:rsidP="00C97B8F">
            <w:pPr>
              <w:pStyle w:val="MDPI3aequationnumber"/>
              <w:spacing w:line="260" w:lineRule="atLeast"/>
            </w:pPr>
            <w:r>
              <w:t>(4</w:t>
            </w:r>
            <w:r w:rsidRPr="00997F64">
              <w:t>)</w:t>
            </w:r>
          </w:p>
        </w:tc>
      </w:tr>
    </w:tbl>
    <w:p w:rsidR="003542E1" w:rsidRPr="00DA008D" w:rsidRDefault="003542E1" w:rsidP="003542E1">
      <w:pPr>
        <w:pStyle w:val="MDPI31text"/>
      </w:pPr>
      <w:r w:rsidRPr="005B5926">
        <w:t xml:space="preserve">where </w:t>
      </w:r>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ij</m:t>
            </m:r>
          </m:sub>
          <m:sup>
            <m:r>
              <m:rPr>
                <m:sty m:val="p"/>
              </m:rPr>
              <w:rPr>
                <w:rFonts w:ascii="Cambria Math" w:hAnsi="Cambria Math"/>
              </w:rPr>
              <m:t>ω</m:t>
            </m:r>
          </m:sup>
        </m:sSubSup>
      </m:oMath>
      <w:r w:rsidRPr="005B5926">
        <w:t xml:space="preserve"> is the flow between two nodes i and j through a cable c in a given scenario [MW] and </w:t>
      </w:r>
      <m:oMath>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i</m:t>
            </m:r>
          </m:sub>
          <m:sup>
            <m:r>
              <m:rPr>
                <m:sty m:val="p"/>
              </m:rPr>
              <w:rPr>
                <w:rFonts w:ascii="Cambria Math" w:hAnsi="Cambria Math"/>
              </w:rPr>
              <m:t>ω</m:t>
            </m:r>
          </m:sup>
        </m:sSubSup>
      </m:oMath>
      <w:r w:rsidRPr="005B5926">
        <w:t>is the demand at a node [MW].</w:t>
      </w:r>
      <w:r>
        <w:t xml:space="preserv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i</m:t>
            </m:r>
          </m:sub>
          <m:sup>
            <m:r>
              <m:rPr>
                <m:sty m:val="p"/>
              </m:rPr>
              <w:rPr>
                <w:rFonts w:ascii="Cambria Math" w:hAnsi="Cambria Math"/>
              </w:rPr>
              <m:t>ω</m:t>
            </m:r>
          </m:sup>
        </m:sSubSup>
      </m:oMath>
      <w:r>
        <w:t xml:space="preserve">is a particularly interesting dual variable: it corresponds to </w:t>
      </w:r>
      <w:r>
        <w:rPr>
          <w:i/>
        </w:rPr>
        <w:t>nodal price</w:t>
      </w:r>
      <w:r>
        <w:t>, the cost of providing one extra MW of energy at a given location i. Given network constraints, nodal prices are different at different nodes in the network.</w:t>
      </w:r>
    </w:p>
    <w:p w:rsidR="003542E1" w:rsidRPr="005B5926" w:rsidRDefault="003542E1" w:rsidP="003542E1">
      <w:pPr>
        <w:pStyle w:val="MDPI31text"/>
      </w:pPr>
      <w:r w:rsidRPr="005B5926">
        <w:t xml:space="preserve">The second Kirchhoff’s law or voltage law imposes that voltage differences added along a closed loop must be equal to zero. The DCPF formulation approximates this condition by applying it to a variable known as </w:t>
      </w:r>
      <w:r w:rsidRPr="005B5926">
        <w:rPr>
          <w:i/>
        </w:rPr>
        <w:t>voltage angles</w:t>
      </w:r>
      <w:r w:rsidRPr="005B5926">
        <w:t xml:space="preserve"> only, and imposing that power flows must be proportional to the angle differences of the extremes of a line:</w:t>
      </w:r>
    </w:p>
    <w:tbl>
      <w:tblPr>
        <w:tblW w:w="5000" w:type="pct"/>
        <w:jc w:val="center"/>
        <w:tblCellMar>
          <w:left w:w="0" w:type="dxa"/>
          <w:right w:w="0" w:type="dxa"/>
        </w:tblCellMar>
        <w:tblLook w:val="04A0" w:firstRow="1" w:lastRow="0" w:firstColumn="1" w:lastColumn="0" w:noHBand="0" w:noVBand="1"/>
      </w:tblPr>
      <w:tblGrid>
        <w:gridCol w:w="8409"/>
        <w:gridCol w:w="435"/>
      </w:tblGrid>
      <w:tr w:rsidR="003542E1" w:rsidRPr="00997F64" w:rsidTr="00C97B8F">
        <w:trPr>
          <w:jc w:val="center"/>
        </w:trPr>
        <w:tc>
          <w:tcPr>
            <w:tcW w:w="4754" w:type="pct"/>
            <w:shd w:val="clear" w:color="auto" w:fill="auto"/>
          </w:tcPr>
          <w:p w:rsidR="003542E1" w:rsidRPr="00997F64" w:rsidRDefault="00D1724E" w:rsidP="00C97B8F">
            <w:pPr>
              <w:pStyle w:val="MDPI39equation"/>
            </w:pPr>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ij</m:t>
                  </m:r>
                </m:sub>
                <m:sup>
                  <m:r>
                    <m:rPr>
                      <m:sty m:val="p"/>
                    </m:rPr>
                    <w:rPr>
                      <w:rFonts w:ascii="Cambria Math" w:hAnsi="Cambria Math"/>
                    </w:rPr>
                    <m:t>ω</m:t>
                  </m:r>
                </m:sup>
              </m:sSubSup>
              <m: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θ</m:t>
                      </m:r>
                    </m:e>
                    <m:sub>
                      <m:r>
                        <m:rPr>
                          <m:sty m:val="p"/>
                        </m:rPr>
                        <w:rPr>
                          <w:rFonts w:ascii="Cambria Math" w:hAnsi="Cambria Math"/>
                        </w:rPr>
                        <m:t>i</m:t>
                      </m:r>
                    </m:sub>
                    <m:sup>
                      <m:r>
                        <m:rPr>
                          <m:sty m:val="p"/>
                        </m:rPr>
                        <w:rPr>
                          <w:rFonts w:ascii="Cambria Math" w:hAnsi="Cambria Math"/>
                        </w:rPr>
                        <m:t>ω</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θ</m:t>
                      </m:r>
                    </m:e>
                    <m:sub>
                      <m:r>
                        <m:rPr>
                          <m:sty m:val="p"/>
                        </m:rPr>
                        <w:rPr>
                          <w:rFonts w:ascii="Cambria Math" w:hAnsi="Cambria Math"/>
                        </w:rPr>
                        <m:t>j</m:t>
                      </m:r>
                    </m:sub>
                    <m:sup>
                      <m:r>
                        <m:rPr>
                          <m:sty m:val="p"/>
                        </m:rPr>
                        <w:rPr>
                          <w:rFonts w:ascii="Cambria Math" w:hAnsi="Cambria Math"/>
                        </w:rPr>
                        <m:t>ω</m:t>
                      </m:r>
                    </m:sup>
                  </m:sSubSup>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den>
              </m:f>
              <m:r>
                <m:rPr>
                  <m:sty m:val="p"/>
                </m:rPr>
                <w:rPr>
                  <w:rFonts w:ascii="Cambria Math" w:hAnsi="Cambria Math"/>
                </w:rPr>
                <m:t xml:space="preserve">       ∀i,j,ω</m:t>
              </m:r>
            </m:oMath>
            <w:r w:rsidR="003542E1" w:rsidRPr="00997F64">
              <w:t>,</w:t>
            </w:r>
          </w:p>
        </w:tc>
        <w:tc>
          <w:tcPr>
            <w:tcW w:w="246" w:type="pct"/>
            <w:shd w:val="clear" w:color="auto" w:fill="auto"/>
            <w:vAlign w:val="center"/>
          </w:tcPr>
          <w:p w:rsidR="003542E1" w:rsidRPr="00997F64" w:rsidRDefault="003542E1" w:rsidP="00C97B8F">
            <w:pPr>
              <w:pStyle w:val="MDPI3aequationnumber"/>
              <w:spacing w:line="260" w:lineRule="atLeast"/>
            </w:pPr>
            <w:r>
              <w:t>(5</w:t>
            </w:r>
            <w:r w:rsidRPr="00997F64">
              <w:t>)</w:t>
            </w:r>
          </w:p>
        </w:tc>
      </w:tr>
    </w:tbl>
    <w:p w:rsidR="003542E1" w:rsidRPr="005B5926" w:rsidRDefault="003542E1" w:rsidP="003542E1">
      <w:pPr>
        <w:pStyle w:val="MDPI31text"/>
      </w:pPr>
      <w:r w:rsidRPr="005B5926">
        <w:t xml:space="preserve">where </w:t>
      </w:r>
      <m:oMath>
        <m:sSubSup>
          <m:sSubSupPr>
            <m:ctrlPr>
              <w:rPr>
                <w:rFonts w:ascii="Cambria Math" w:hAnsi="Cambria Math"/>
              </w:rPr>
            </m:ctrlPr>
          </m:sSubSupPr>
          <m:e>
            <m:r>
              <m:rPr>
                <m:sty m:val="p"/>
              </m:rPr>
              <w:rPr>
                <w:rFonts w:ascii="Cambria Math" w:hAnsi="Cambria Math"/>
              </w:rPr>
              <m:t>θ</m:t>
            </m:r>
          </m:e>
          <m:sub>
            <m:r>
              <m:rPr>
                <m:sty m:val="p"/>
              </m:rPr>
              <w:rPr>
                <w:rFonts w:ascii="Cambria Math" w:hAnsi="Cambria Math"/>
              </w:rPr>
              <m:t>i</m:t>
            </m:r>
          </m:sub>
          <m:sup>
            <m:r>
              <m:rPr>
                <m:sty m:val="p"/>
              </m:rPr>
              <w:rPr>
                <w:rFonts w:ascii="Cambria Math" w:hAnsi="Cambria Math"/>
              </w:rPr>
              <m:t>ω</m:t>
            </m:r>
          </m:sup>
        </m:sSubSup>
      </m:oMath>
      <w:r w:rsidRPr="005B5926">
        <w:t xml:space="preserve"> are the voltage angles at nodes [rad] and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oMath>
      <w:r>
        <w:t xml:space="preserve"> represents</w:t>
      </w:r>
      <w:r w:rsidRPr="005B5926">
        <w:t xml:space="preserve"> the</w:t>
      </w:r>
      <w:r w:rsidRPr="005B5926">
        <w:rPr>
          <w:i/>
        </w:rPr>
        <w:t xml:space="preserve"> </w:t>
      </w:r>
      <w:r w:rsidRPr="002D11C6">
        <w:t>reactance</w:t>
      </w:r>
      <w:r w:rsidRPr="005B5926">
        <w:t xml:space="preserve"> of a circuit [pu], a parameter that describes the relative difficulty of sending power through a given cable. In general, reactance increases with distance (it is more difficult to send power) and decreases with capacity (it is easier to send power through lines with a higher capacity).</w:t>
      </w:r>
    </w:p>
    <w:p w:rsidR="003542E1" w:rsidRPr="005B5926" w:rsidRDefault="003542E1" w:rsidP="003542E1">
      <w:pPr>
        <w:pStyle w:val="MDPI31text"/>
      </w:pPr>
    </w:p>
    <w:p w:rsidR="003542E1" w:rsidRPr="005B5926" w:rsidRDefault="003542E1" w:rsidP="003542E1">
      <w:pPr>
        <w:pStyle w:val="MDPI31text"/>
      </w:pPr>
      <w:r w:rsidRPr="005B5926">
        <w:t>Generators must respect their constraints:</w:t>
      </w:r>
    </w:p>
    <w:tbl>
      <w:tblPr>
        <w:tblW w:w="5000" w:type="pct"/>
        <w:jc w:val="center"/>
        <w:tblCellMar>
          <w:left w:w="0" w:type="dxa"/>
          <w:right w:w="0" w:type="dxa"/>
        </w:tblCellMar>
        <w:tblLook w:val="04A0" w:firstRow="1" w:lastRow="0" w:firstColumn="1" w:lastColumn="0" w:noHBand="0" w:noVBand="1"/>
      </w:tblPr>
      <w:tblGrid>
        <w:gridCol w:w="8409"/>
        <w:gridCol w:w="435"/>
      </w:tblGrid>
      <w:tr w:rsidR="003542E1" w:rsidRPr="00997F64" w:rsidTr="00C97B8F">
        <w:trPr>
          <w:jc w:val="center"/>
        </w:trPr>
        <w:tc>
          <w:tcPr>
            <w:tcW w:w="4754" w:type="pct"/>
            <w:shd w:val="clear" w:color="auto" w:fill="auto"/>
          </w:tcPr>
          <w:p w:rsidR="003542E1" w:rsidRPr="00997F64" w:rsidRDefault="003542E1" w:rsidP="00C97B8F">
            <w:pPr>
              <w:pStyle w:val="MDPI39equation"/>
            </w:pPr>
            <m:oMath>
              <m:r>
                <m:rPr>
                  <m:sty m:val="p"/>
                </m:rPr>
                <w:rPr>
                  <w:rFonts w:ascii="Cambria Math" w:hAnsi="Cambria Math"/>
                </w:rPr>
                <m:t>Min</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i</m:t>
                  </m:r>
                </m:sub>
              </m:sSub>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i</m:t>
                  </m:r>
                </m:sub>
                <m:sup>
                  <m:r>
                    <m:rPr>
                      <m:sty m:val="p"/>
                    </m:rPr>
                    <w:rPr>
                      <w:rFonts w:ascii="Cambria Math" w:hAnsi="Cambria Math"/>
                    </w:rPr>
                    <m:t>ω</m:t>
                  </m:r>
                </m:sup>
              </m:sSubSup>
              <m:r>
                <m:rPr>
                  <m:sty m:val="p"/>
                </m:rPr>
                <w:rPr>
                  <w:rFonts w:ascii="Cambria Math" w:hAnsi="Cambria Math"/>
                </w:rPr>
                <m:t>≤Max</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 xml:space="preserve">i     </m:t>
                  </m:r>
                </m:sub>
              </m:sSub>
              <m:r>
                <m:rPr>
                  <m:sty m:val="p"/>
                </m:rPr>
                <w:rPr>
                  <w:rFonts w:ascii="Cambria Math" w:hAnsi="Cambria Math"/>
                </w:rPr>
                <m:t>∀i,ω</m:t>
              </m:r>
            </m:oMath>
            <w:r w:rsidRPr="00997F64">
              <w:t>,</w:t>
            </w:r>
          </w:p>
        </w:tc>
        <w:tc>
          <w:tcPr>
            <w:tcW w:w="246" w:type="pct"/>
            <w:shd w:val="clear" w:color="auto" w:fill="auto"/>
            <w:vAlign w:val="center"/>
          </w:tcPr>
          <w:p w:rsidR="003542E1" w:rsidRPr="00997F64" w:rsidRDefault="003542E1" w:rsidP="00C97B8F">
            <w:pPr>
              <w:pStyle w:val="MDPI3aequationnumber"/>
              <w:spacing w:line="260" w:lineRule="atLeast"/>
            </w:pPr>
            <w:r>
              <w:t>(6</w:t>
            </w:r>
            <w:r w:rsidRPr="00997F64">
              <w:t>)</w:t>
            </w:r>
          </w:p>
        </w:tc>
      </w:tr>
    </w:tbl>
    <w:p w:rsidR="003542E1" w:rsidRPr="005B5926" w:rsidRDefault="003542E1" w:rsidP="003542E1">
      <w:pPr>
        <w:pStyle w:val="MDPI31text"/>
      </w:pPr>
      <w:r>
        <w:t>w</w:t>
      </w:r>
      <w:r w:rsidRPr="005B5926">
        <w:t xml:space="preserve">here </w:t>
      </w:r>
      <m:oMath>
        <m:r>
          <m:rPr>
            <m:sty m:val="p"/>
          </m:rPr>
          <w:rPr>
            <w:rFonts w:ascii="Cambria Math" w:hAnsi="Cambria Math"/>
          </w:rPr>
          <m:t>Min</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i</m:t>
            </m:r>
          </m:sub>
        </m:sSub>
      </m:oMath>
      <w:r w:rsidRPr="005B5926">
        <w:t xml:space="preserve"> and </w:t>
      </w:r>
      <m:oMath>
        <m:r>
          <m:rPr>
            <m:sty m:val="p"/>
          </m:rPr>
          <w:rPr>
            <w:rFonts w:ascii="Cambria Math" w:hAnsi="Cambria Math"/>
          </w:rPr>
          <m:t>Max</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i</m:t>
            </m:r>
          </m:sub>
        </m:sSub>
      </m:oMath>
      <w:r w:rsidRPr="005B5926">
        <w:t xml:space="preserve"> represent the minimum and maximum generation levels for a given generator.</w:t>
      </w:r>
    </w:p>
    <w:p w:rsidR="003542E1" w:rsidRPr="005B5926" w:rsidRDefault="003542E1" w:rsidP="003542E1">
      <w:pPr>
        <w:pStyle w:val="MDPI31text"/>
      </w:pPr>
      <w:r w:rsidRPr="005B5926">
        <w:t>Last, transmission lines must also respect their capacity limit:</w:t>
      </w:r>
    </w:p>
    <w:tbl>
      <w:tblPr>
        <w:tblW w:w="5000" w:type="pct"/>
        <w:jc w:val="center"/>
        <w:tblCellMar>
          <w:left w:w="0" w:type="dxa"/>
          <w:right w:w="0" w:type="dxa"/>
        </w:tblCellMar>
        <w:tblLook w:val="04A0" w:firstRow="1" w:lastRow="0" w:firstColumn="1" w:lastColumn="0" w:noHBand="0" w:noVBand="1"/>
      </w:tblPr>
      <w:tblGrid>
        <w:gridCol w:w="8409"/>
        <w:gridCol w:w="435"/>
      </w:tblGrid>
      <w:tr w:rsidR="003542E1" w:rsidRPr="00997F64" w:rsidTr="00C97B8F">
        <w:trPr>
          <w:jc w:val="center"/>
        </w:trPr>
        <w:tc>
          <w:tcPr>
            <w:tcW w:w="4754" w:type="pct"/>
            <w:shd w:val="clear" w:color="auto" w:fill="auto"/>
          </w:tcPr>
          <w:p w:rsidR="003542E1" w:rsidRPr="00997F64" w:rsidRDefault="00D1724E" w:rsidP="00C97B8F">
            <w:pPr>
              <w:pStyle w:val="MDPI39equation"/>
            </w:pPr>
            <m:oMath>
              <m:sSub>
                <m:sSubPr>
                  <m:ctrlPr>
                    <w:rPr>
                      <w:rFonts w:ascii="Cambria Math" w:hAnsi="Cambria Math"/>
                    </w:rPr>
                  </m:ctrlPr>
                </m:sSubPr>
                <m:e>
                  <m:r>
                    <m:rPr>
                      <m:sty m:val="p"/>
                    </m:rPr>
                    <w:rPr>
                      <w:rFonts w:ascii="Cambria Math" w:hAnsi="Cambria Math"/>
                    </w:rPr>
                    <m:t>-MaxP</m:t>
                  </m:r>
                </m:e>
                <m:sub>
                  <m:r>
                    <m:rPr>
                      <m:sty m:val="p"/>
                    </m:rPr>
                    <w:rPr>
                      <w:rFonts w:ascii="Cambria Math" w:hAnsi="Cambria Math"/>
                    </w:rPr>
                    <m:t>ij</m:t>
                  </m:r>
                </m:sub>
              </m:sSub>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ij</m:t>
                  </m:r>
                </m:sub>
                <m:sup>
                  <m:r>
                    <m:rPr>
                      <m:sty m:val="p"/>
                    </m:rPr>
                    <w:rPr>
                      <w:rFonts w:ascii="Cambria Math" w:hAnsi="Cambria Math"/>
                    </w:rPr>
                    <m:t>ω</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MaxP</m:t>
                  </m:r>
                </m:e>
                <m:sub>
                  <m:r>
                    <m:rPr>
                      <m:sty m:val="p"/>
                    </m:rPr>
                    <w:rPr>
                      <w:rFonts w:ascii="Cambria Math" w:hAnsi="Cambria Math"/>
                    </w:rPr>
                    <m:t>ij</m:t>
                  </m:r>
                </m:sub>
              </m:sSub>
              <m:r>
                <m:rPr>
                  <m:sty m:val="p"/>
                </m:rPr>
                <w:rPr>
                  <w:rFonts w:ascii="Cambria Math" w:hAnsi="Cambria Math"/>
                </w:rPr>
                <m:t xml:space="preserve">       ∀i,ω</m:t>
              </m:r>
            </m:oMath>
            <w:r w:rsidR="003542E1" w:rsidRPr="00997F64">
              <w:t>,</w:t>
            </w:r>
          </w:p>
        </w:tc>
        <w:tc>
          <w:tcPr>
            <w:tcW w:w="246" w:type="pct"/>
            <w:shd w:val="clear" w:color="auto" w:fill="auto"/>
            <w:vAlign w:val="center"/>
          </w:tcPr>
          <w:p w:rsidR="003542E1" w:rsidRPr="00997F64" w:rsidRDefault="003542E1" w:rsidP="00C97B8F">
            <w:pPr>
              <w:pStyle w:val="MDPI3aequationnumber"/>
              <w:spacing w:line="260" w:lineRule="atLeast"/>
            </w:pPr>
            <w:r>
              <w:t>(7</w:t>
            </w:r>
            <w:r w:rsidRPr="00997F64">
              <w:t>)</w:t>
            </w:r>
          </w:p>
        </w:tc>
      </w:tr>
    </w:tbl>
    <w:p w:rsidR="003542E1" w:rsidRPr="005B5926" w:rsidRDefault="003542E1" w:rsidP="003542E1">
      <w:pPr>
        <w:pStyle w:val="MDPI31text"/>
      </w:pPr>
      <w:r>
        <w:t>w</w:t>
      </w:r>
      <w:r w:rsidRPr="005B5926">
        <w:t xml:space="preserve">here </w:t>
      </w:r>
      <m:oMath>
        <m:sSub>
          <m:sSubPr>
            <m:ctrlPr>
              <w:rPr>
                <w:rFonts w:ascii="Cambria Math" w:hAnsi="Cambria Math"/>
              </w:rPr>
            </m:ctrlPr>
          </m:sSubPr>
          <m:e>
            <m:r>
              <m:rPr>
                <m:sty m:val="p"/>
              </m:rPr>
              <w:rPr>
                <w:rFonts w:ascii="Cambria Math" w:hAnsi="Cambria Math"/>
              </w:rPr>
              <m:t>MaxP</m:t>
            </m:r>
          </m:e>
          <m:sub>
            <m:r>
              <m:rPr>
                <m:sty m:val="p"/>
              </m:rPr>
              <w:rPr>
                <w:rFonts w:ascii="Cambria Math" w:hAnsi="Cambria Math"/>
              </w:rPr>
              <m:t xml:space="preserve">ij </m:t>
            </m:r>
          </m:sub>
        </m:sSub>
      </m:oMath>
      <w:r w:rsidRPr="005B5926">
        <w:t>represents the maximum capacity between each pair of nodes.</w:t>
      </w:r>
    </w:p>
    <w:p w:rsidR="003542E1" w:rsidRPr="005B5926" w:rsidRDefault="003542E1" w:rsidP="003542E1">
      <w:pPr>
        <w:pStyle w:val="MDPI31text"/>
      </w:pPr>
      <w:r w:rsidRPr="005B5926">
        <w:t xml:space="preserve">This simplified formulation presents the main features of the problem in order to give the reader an easily understandable overview of transmission expansion. We refer the reader to other publications (such as </w:t>
      </w:r>
      <w:r w:rsidRPr="001970B2">
        <w:fldChar w:fldCharType="begin"/>
      </w:r>
      <w:r w:rsidRPr="005B5926">
        <w:instrText>ADDIN RW.CITE{{1222 Lumbreras, Sara 2016}}</w:instrText>
      </w:r>
      <w:r w:rsidRPr="001970B2">
        <w:fldChar w:fldCharType="separate"/>
      </w:r>
      <w:r w:rsidR="009B1A7D">
        <w:t>[9]</w:t>
      </w:r>
      <w:r w:rsidRPr="001970B2">
        <w:fldChar w:fldCharType="end"/>
      </w:r>
      <w:r>
        <w:t xml:space="preserve">) </w:t>
      </w:r>
      <w:r w:rsidRPr="005B5926">
        <w:t>for a more detailed account.</w:t>
      </w:r>
    </w:p>
    <w:p w:rsidR="003542E1" w:rsidRPr="001970B2" w:rsidRDefault="003542E1" w:rsidP="003542E1">
      <w:pPr>
        <w:pStyle w:val="MDPI31text"/>
      </w:pPr>
      <w:r w:rsidRPr="005B5926">
        <w:t xml:space="preserve">TEP is a highly complex problem once we take into account the high number of nodes that appear in realistic power networks – of the order of hundreds or thousands. The number of connections between nodes that can be considered is therefore very large (several millions, considering that several cable types can be used). This leads to computational issues when applying classical optimization even in relatively small problem instances. </w:t>
      </w:r>
      <w:r>
        <w:t xml:space="preserve">This has historically led planners to resort to manual processes to plan their networks, which means the adoption of suboptimal solutions. </w:t>
      </w:r>
      <w:r w:rsidRPr="005B5926">
        <w:t xml:space="preserve">The reference </w:t>
      </w:r>
      <w:r w:rsidRPr="00F4435F">
        <w:fldChar w:fldCharType="begin"/>
      </w:r>
      <w:r w:rsidRPr="001970B2">
        <w:instrText>ADDIN RW.CITE{{1222 Lumbreras, Sara 2016; 1369 Lumbreras, Sara 2017}}</w:instrText>
      </w:r>
      <w:r w:rsidRPr="00F4435F">
        <w:fldChar w:fldCharType="separate"/>
      </w:r>
      <w:r w:rsidR="009B1A7D">
        <w:t>[9], [10]</w:t>
      </w:r>
      <w:r w:rsidRPr="00F4435F">
        <w:fldChar w:fldCharType="end"/>
      </w:r>
      <w:r w:rsidRPr="001970B2">
        <w:t xml:space="preserve"> presents strategies to cope with large problem sizes using optimization. The main idea</w:t>
      </w:r>
      <w:r>
        <w:t xml:space="preserve"> in that work</w:t>
      </w:r>
      <w:r w:rsidRPr="001970B2">
        <w:t xml:space="preserve"> is to solve simpler versions of the problem instead of the full size. This paper, howe</w:t>
      </w:r>
      <w:r>
        <w:t>ver, takes a different approach: i</w:t>
      </w:r>
      <w:r w:rsidRPr="001970B2">
        <w:t xml:space="preserve">nstead of simplifying the problem we propose to keep the full complexity but modify the solution method. Instead of </w:t>
      </w:r>
      <w:r w:rsidRPr="001970B2">
        <w:lastRenderedPageBreak/>
        <w:t xml:space="preserve">resorting to classical optimization, we use a biologically inspired algorithm to propose near-optimal designs: an algorithm based on a creature that is known to build near-optimal transportation networks. </w:t>
      </w:r>
    </w:p>
    <w:p w:rsidR="003542E1" w:rsidRPr="001970B2" w:rsidRDefault="003542E1" w:rsidP="003542E1">
      <w:pPr>
        <w:pStyle w:val="MDPI31text"/>
      </w:pPr>
      <w:r w:rsidRPr="001970B2">
        <w:t xml:space="preserve">The main advantage of </w:t>
      </w:r>
      <w:r>
        <w:t>our</w:t>
      </w:r>
      <w:r w:rsidRPr="001970B2">
        <w:t xml:space="preserve"> method is scalability: the algorithm uses local information only, as the slime </w:t>
      </w:r>
      <w:r w:rsidR="004D2A1F">
        <w:t>mold</w:t>
      </w:r>
      <w:r w:rsidRPr="001970B2">
        <w:t xml:space="preserve"> can only sense its immediate surroundings regardless of the total size of the system. It should be noted, however, that power flows most be calculated globally in order to abide the laws of physics, which apply to the system as a whole. </w:t>
      </w:r>
      <w:r>
        <w:t xml:space="preserve">We solve this issue by solving a suboptimization problem at each iteration step. However, this suboptimization problem is computationally light </w:t>
      </w:r>
      <w:r w:rsidR="004D2A1F">
        <w:t xml:space="preserve">(all variables are linear) </w:t>
      </w:r>
      <w:r>
        <w:t>and can easily be integrated into the slime-</w:t>
      </w:r>
      <w:r w:rsidR="004D2A1F">
        <w:t>mold</w:t>
      </w:r>
      <w:r>
        <w:t xml:space="preserve"> algorithm. This is detailed </w:t>
      </w:r>
      <w:r w:rsidRPr="001970B2">
        <w:t xml:space="preserve">in </w:t>
      </w:r>
      <w:r>
        <w:t>section 2</w:t>
      </w:r>
      <w:r w:rsidRPr="001970B2">
        <w:t>.</w:t>
      </w:r>
    </w:p>
    <w:p w:rsidR="00863B89" w:rsidRPr="00F4435F" w:rsidRDefault="00A82688" w:rsidP="0075261E">
      <w:pPr>
        <w:pStyle w:val="MDPI22heading2"/>
      </w:pPr>
      <w:r>
        <w:t>1</w:t>
      </w:r>
      <w:r w:rsidR="003542E1">
        <w:t>.2</w:t>
      </w:r>
      <w:r w:rsidR="0075261E">
        <w:t xml:space="preserve"> </w:t>
      </w:r>
      <w:r w:rsidR="00863B89" w:rsidRPr="005B5926">
        <w:t>Agent-based modeling in power systems and power network design</w:t>
      </w:r>
    </w:p>
    <w:p w:rsidR="00863B89" w:rsidRPr="005B5926" w:rsidRDefault="00863B89" w:rsidP="00863B89">
      <w:pPr>
        <w:pStyle w:val="MDPI31text"/>
      </w:pPr>
      <w:bookmarkStart w:id="3" w:name="_Hlk505006357"/>
      <w:r w:rsidRPr="005B5926">
        <w:t xml:space="preserve">ABMs have already been adapted for use by the power systems research community. In particular, the IEEE Power Engineering Society (PES) formed a working group to investigate the drivers and benefits of ABMs in 2007 </w:t>
      </w:r>
      <w:r w:rsidRPr="00C33D31">
        <w:fldChar w:fldCharType="begin"/>
      </w:r>
      <w:r w:rsidRPr="005B5926">
        <w:instrText>ADDIN RW.CITE{{952 McArthur,S.D.J. 2007}}</w:instrText>
      </w:r>
      <w:r w:rsidRPr="00C33D31">
        <w:fldChar w:fldCharType="separate"/>
      </w:r>
      <w:r w:rsidR="009B1A7D">
        <w:t>[11]</w:t>
      </w:r>
      <w:r w:rsidRPr="00C33D31">
        <w:fldChar w:fldCharType="end"/>
      </w:r>
      <w:r w:rsidRPr="005B5926">
        <w:t xml:space="preserve">. The conclusions of the working group were that ABMs could, if used appropriately, be used as a modeling approach and for building flexible software systems in the power systems domain. The working group highlighted that ABM is a very natural way of modeling actors in some systems such as power markets. In a market, actors have attributes (such as prices) and possible actions (such as bidding or production in a generation market) which they take independently considering the characteristics of the environment. ABMs can help understand the mechanics of such markets and the impact of changes in the actor attributes or behavior in the final outcome. The literature includes some examples of this type of study </w:t>
      </w:r>
      <w:r w:rsidRPr="001970B2">
        <w:fldChar w:fldCharType="begin"/>
      </w:r>
      <w:r w:rsidRPr="005B5926">
        <w:instrText>ADDIN RW.CITE{{970 Kiose,Daniil 2015; 974 Shafie-Khah,M. 2015}}</w:instrText>
      </w:r>
      <w:r w:rsidRPr="001970B2">
        <w:fldChar w:fldCharType="separate"/>
      </w:r>
      <w:r w:rsidR="009B1A7D">
        <w:t>[12], [13]</w:t>
      </w:r>
      <w:r w:rsidRPr="001970B2">
        <w:fldChar w:fldCharType="end"/>
      </w:r>
      <w:r w:rsidRPr="005B5926">
        <w:t xml:space="preserve">. Among these recent applications, some of them study specific aspects such as the dispatching of wind energy </w:t>
      </w:r>
      <w:r w:rsidRPr="00C33D31">
        <w:fldChar w:fldCharType="begin"/>
      </w:r>
      <w:r w:rsidRPr="005B5926">
        <w:instrText>ADDIN RW.CITE{{963 Li,Gong 2012}}</w:instrText>
      </w:r>
      <w:r w:rsidRPr="00C33D31">
        <w:fldChar w:fldCharType="separate"/>
      </w:r>
      <w:r w:rsidR="009B1A7D">
        <w:t>[14]</w:t>
      </w:r>
      <w:r w:rsidRPr="00C33D31">
        <w:fldChar w:fldCharType="end"/>
      </w:r>
      <w:r w:rsidRPr="005B5926">
        <w:t xml:space="preserve">, the modeling of demand elasticity through individual consumers </w:t>
      </w:r>
      <w:r w:rsidRPr="00C33D31">
        <w:fldChar w:fldCharType="begin"/>
      </w:r>
      <w:r w:rsidRPr="005B5926">
        <w:instrText>ADDIN RW.CITE{{971 Thimmapuram,P.R. 2013; 973 Karfopoulos,E. 2015}}</w:instrText>
      </w:r>
      <w:r w:rsidRPr="00C33D31">
        <w:fldChar w:fldCharType="separate"/>
      </w:r>
      <w:r w:rsidR="009B1A7D">
        <w:t>[15], [16]</w:t>
      </w:r>
      <w:r w:rsidRPr="00C33D31">
        <w:fldChar w:fldCharType="end"/>
      </w:r>
      <w:r w:rsidRPr="005B5926">
        <w:t xml:space="preserve">, distributed generation </w:t>
      </w:r>
      <w:r w:rsidRPr="00C33D31">
        <w:fldChar w:fldCharType="begin"/>
      </w:r>
      <w:r w:rsidRPr="005B5926">
        <w:instrText>ADDIN RW.CITE{{954 Divenyi,D. 2013}}</w:instrText>
      </w:r>
      <w:r w:rsidRPr="00C33D31">
        <w:fldChar w:fldCharType="separate"/>
      </w:r>
      <w:r w:rsidR="009B1A7D">
        <w:t>[17]</w:t>
      </w:r>
      <w:r w:rsidRPr="00C33D31">
        <w:fldChar w:fldCharType="end"/>
      </w:r>
      <w:r w:rsidRPr="005B5926">
        <w:t xml:space="preserve">, smart grids </w:t>
      </w:r>
      <w:r w:rsidRPr="00C33D31">
        <w:fldChar w:fldCharType="begin"/>
      </w:r>
      <w:r w:rsidRPr="005B5926">
        <w:instrText>ADDIN RW.CITE{{955 Niese,A. 2012; 959 Prostejovsky,A. 2013; 967 Ross,K.J. 2013; 965 Nguyen,C.P. 2015}}</w:instrText>
      </w:r>
      <w:r w:rsidRPr="00C33D31">
        <w:fldChar w:fldCharType="separate"/>
      </w:r>
      <w:r w:rsidR="009B1A7D">
        <w:t>[18]-[21]</w:t>
      </w:r>
      <w:r w:rsidRPr="00C33D31">
        <w:fldChar w:fldCharType="end"/>
      </w:r>
      <w:r w:rsidRPr="005B5926">
        <w:t xml:space="preserve"> or micro grids </w:t>
      </w:r>
      <w:r w:rsidRPr="001970B2">
        <w:fldChar w:fldCharType="begin"/>
      </w:r>
      <w:r w:rsidRPr="005B5926">
        <w:instrText>ADDIN RW.CITE{{983 Dimeas, Aris L 2005; 966 Colson,C.M. 2011; 962 Chun-xia Dou 2013}}</w:instrText>
      </w:r>
      <w:r w:rsidRPr="001970B2">
        <w:fldChar w:fldCharType="separate"/>
      </w:r>
      <w:r w:rsidR="009B1A7D">
        <w:t>[22]-[24]</w:t>
      </w:r>
      <w:r w:rsidRPr="001970B2">
        <w:fldChar w:fldCharType="end"/>
      </w:r>
      <w:r w:rsidRPr="005B5926">
        <w:t>.</w:t>
      </w:r>
    </w:p>
    <w:p w:rsidR="00863B89" w:rsidRPr="005B5926" w:rsidRDefault="00863B89" w:rsidP="00863B89">
      <w:pPr>
        <w:pStyle w:val="MDPI31text"/>
      </w:pPr>
      <w:r w:rsidRPr="005B5926">
        <w:t xml:space="preserve">In addition to market studies, ABMs have been applied to monitoring and diagnostics, given that power systems have a complex structure that needs to be managed using a very large set of distributed data </w:t>
      </w:r>
      <w:r w:rsidRPr="001970B2">
        <w:fldChar w:fldCharType="begin"/>
      </w:r>
      <w:r w:rsidRPr="005B5926">
        <w:instrText>ADDIN RW.CITE{{979 Davidson,E.M. 2006; 957 Sharma,A. 2015}}</w:instrText>
      </w:r>
      <w:r w:rsidRPr="001970B2">
        <w:fldChar w:fldCharType="separate"/>
      </w:r>
      <w:r w:rsidR="009B1A7D">
        <w:t>[25], [26]</w:t>
      </w:r>
      <w:r w:rsidRPr="001970B2">
        <w:fldChar w:fldCharType="end"/>
      </w:r>
      <w:r w:rsidRPr="005B5926">
        <w:t xml:space="preserve">. For these reasons, ABMs have been used in the context of reliability analyses, post fault diagnosis (investigating the causes of a failure), or power system restoration </w:t>
      </w:r>
      <w:r w:rsidRPr="001970B2">
        <w:fldChar w:fldCharType="begin"/>
      </w:r>
      <w:r w:rsidRPr="005B5926">
        <w:instrText>ADDIN RW.CITE{{982 Koesrindartoto, Deddy 2005; 979 Davidson,E.M. 2006; 960 Xu-Wen Yan 2014}}</w:instrText>
      </w:r>
      <w:r w:rsidRPr="001970B2">
        <w:fldChar w:fldCharType="separate"/>
      </w:r>
      <w:r w:rsidR="009B1A7D">
        <w:t>[25], [27], [28]</w:t>
      </w:r>
      <w:r w:rsidRPr="001970B2">
        <w:fldChar w:fldCharType="end"/>
      </w:r>
      <w:r w:rsidRPr="005B5926">
        <w:t xml:space="preserve">. Other applications deal with control and automation </w:t>
      </w:r>
      <w:r w:rsidRPr="001970B2">
        <w:fldChar w:fldCharType="begin"/>
      </w:r>
      <w:r w:rsidRPr="005B5926">
        <w:instrText>ADDIN RW.CITE{{983 Dimeas, Aris L 2005; 968 Yinliang Xu 2011; 953 Nasri,M. 2012; 962 Chun-xia Dou 2013; 954 Divenyi,D. 2013; 959 Prostejovsky,A. 2013; 967 Ross,K.J. 2013; 985 Buse, DP 2003}}</w:instrText>
      </w:r>
      <w:r w:rsidRPr="001970B2">
        <w:fldChar w:fldCharType="separate"/>
      </w:r>
      <w:r w:rsidR="009B1A7D">
        <w:t>[17], [19], [20], [22], [24], [29]-[31]</w:t>
      </w:r>
      <w:r w:rsidRPr="001970B2">
        <w:fldChar w:fldCharType="end"/>
      </w:r>
      <w:r w:rsidRPr="005B5926">
        <w:t xml:space="preserve">. In addition, ABMs have been used as an optimization tool to calculate power flows </w:t>
      </w:r>
      <w:r w:rsidRPr="00C33D31">
        <w:fldChar w:fldCharType="begin"/>
      </w:r>
      <w:r w:rsidRPr="005B5926">
        <w:instrText>ADDIN RW.CITE{{965 Nguyen,C.P. 2015}}</w:instrText>
      </w:r>
      <w:r w:rsidRPr="00C33D31">
        <w:fldChar w:fldCharType="separate"/>
      </w:r>
      <w:r w:rsidR="009B1A7D">
        <w:t>[21]</w:t>
      </w:r>
      <w:r w:rsidRPr="00C33D31">
        <w:fldChar w:fldCharType="end"/>
      </w:r>
      <w:r w:rsidRPr="005B5926">
        <w:t xml:space="preserve"> or the economic dispatch</w:t>
      </w:r>
      <w:r>
        <w:t xml:space="preserve"> of generation units</w:t>
      </w:r>
      <w:r w:rsidRPr="005B5926">
        <w:t xml:space="preserve"> </w:t>
      </w:r>
      <w:r w:rsidRPr="00C33D31">
        <w:fldChar w:fldCharType="begin"/>
      </w:r>
      <w:r w:rsidRPr="005B5926">
        <w:instrText>ADDIN RW.CITE{{964 Kumar,Rajesh 2011}}</w:instrText>
      </w:r>
      <w:r w:rsidRPr="00C33D31">
        <w:fldChar w:fldCharType="separate"/>
      </w:r>
      <w:r w:rsidR="009B1A7D">
        <w:t>[32]</w:t>
      </w:r>
      <w:r w:rsidRPr="00C33D31">
        <w:fldChar w:fldCharType="end"/>
      </w:r>
      <w:r w:rsidRPr="005B5926">
        <w:t>.</w:t>
      </w:r>
    </w:p>
    <w:p w:rsidR="00863B89" w:rsidRPr="005B5926" w:rsidRDefault="00863B89" w:rsidP="00863B89">
      <w:pPr>
        <w:pStyle w:val="MDPI31text"/>
      </w:pPr>
      <w:r w:rsidRPr="005B5926">
        <w:t>Although there have been a range of applications of ABMs to power systems, these have been focused on market simulation, control and automation. Applying ABMs to power systems planning has been far more limited</w:t>
      </w:r>
      <w:r>
        <w:t>, and exclusively focused on</w:t>
      </w:r>
      <w:r w:rsidRPr="005B5926">
        <w:t xml:space="preserve"> generation expansion, the generation companies’ decision to install new power plants. The use of ABMs for generation expansion is a result of the deregulation of the market, meaning that power expansion decisions are not made by a centralized system planner, but are decided by each company independently. In this context, it is intuitive to define generation companies as agents and use ABMs to study the impact of different expansion strategies. This has been done in works such as reference </w:t>
      </w:r>
      <w:r w:rsidRPr="00C33D31">
        <w:fldChar w:fldCharType="begin"/>
      </w:r>
      <w:r w:rsidRPr="005B5926">
        <w:instrText>ADDIN RW.CITE{{976 Gnansounou,E. 2004}}</w:instrText>
      </w:r>
      <w:r w:rsidRPr="00C33D31">
        <w:fldChar w:fldCharType="separate"/>
      </w:r>
      <w:r w:rsidR="009B1A7D">
        <w:t>[33]</w:t>
      </w:r>
      <w:r w:rsidRPr="00C33D31">
        <w:fldChar w:fldCharType="end"/>
      </w:r>
      <w:r w:rsidRPr="005B5926">
        <w:t>.</w:t>
      </w:r>
    </w:p>
    <w:p w:rsidR="00863B89" w:rsidRPr="005B5926" w:rsidRDefault="00863B89" w:rsidP="00863B89">
      <w:pPr>
        <w:pStyle w:val="MDPI31text"/>
      </w:pPr>
      <w:r w:rsidRPr="005B5926">
        <w:t xml:space="preserve">However, the authors could not find any literature that deals with the planning of the transmission network using ABMs. This is probably explained by the fact that, although the generation market was liberalized, the transmission grid is still planned in a central way in most countries </w:t>
      </w:r>
      <w:r>
        <w:t xml:space="preserve">given the related economies of scale </w:t>
      </w:r>
      <w:r w:rsidRPr="00C33D31">
        <w:fldChar w:fldCharType="begin"/>
      </w:r>
      <w:r w:rsidRPr="005B5926">
        <w:instrText>ADDIN RW.CITE{{892 Lumbreras, S. 2014}}</w:instrText>
      </w:r>
      <w:r w:rsidRPr="00C33D31">
        <w:fldChar w:fldCharType="separate"/>
      </w:r>
      <w:r w:rsidR="009B1A7D">
        <w:t>[34]</w:t>
      </w:r>
      <w:r w:rsidRPr="00C33D31">
        <w:fldChar w:fldCharType="end"/>
      </w:r>
      <w:r w:rsidRPr="005B5926">
        <w:t xml:space="preserve">. We develop our model in the context of a liberalized generation market but centralized transmission planning </w:t>
      </w:r>
      <w:r w:rsidRPr="001970B2">
        <w:fldChar w:fldCharType="begin"/>
      </w:r>
      <w:r w:rsidRPr="005B5926">
        <w:instrText>ADDIN RW.CITE{{914 Hemmati,R. 2013}}</w:instrText>
      </w:r>
      <w:r w:rsidRPr="001970B2">
        <w:fldChar w:fldCharType="separate"/>
      </w:r>
      <w:r w:rsidR="009B1A7D">
        <w:t>[35]</w:t>
      </w:r>
      <w:r w:rsidRPr="001970B2">
        <w:fldChar w:fldCharType="end"/>
      </w:r>
      <w:r w:rsidRPr="005B5926">
        <w:t>. Therefore, the agent planning the grid is usually unique (the TSO or Transmission System Operator) and decides which new transmission assets to install based on considerations about the net social benefit derived for the system as a whole.</w:t>
      </w:r>
    </w:p>
    <w:p w:rsidR="00863B89" w:rsidRPr="005B5926" w:rsidRDefault="00863B89" w:rsidP="00863B89">
      <w:pPr>
        <w:pStyle w:val="MDPI31text"/>
      </w:pPr>
      <w:r w:rsidRPr="005B5926">
        <w:t xml:space="preserve">There are two references that deal with TEP (Transmission Expansion Planning) and ABMs </w:t>
      </w:r>
      <w:r w:rsidRPr="00C33D31">
        <w:fldChar w:fldCharType="begin"/>
      </w:r>
      <w:r w:rsidRPr="005B5926">
        <w:instrText>ADDIN RW.CITE{{610 Motamedi,A. 2010}}</w:instrText>
      </w:r>
      <w:r w:rsidRPr="00C33D31">
        <w:fldChar w:fldCharType="separate"/>
      </w:r>
      <w:r w:rsidR="009B1A7D">
        <w:t>[36]</w:t>
      </w:r>
      <w:r w:rsidRPr="00C33D31">
        <w:fldChar w:fldCharType="end"/>
      </w:r>
      <w:r w:rsidRPr="005B5926">
        <w:t xml:space="preserve"> and </w:t>
      </w:r>
      <w:r w:rsidRPr="00C33D31">
        <w:fldChar w:fldCharType="begin"/>
      </w:r>
      <w:r w:rsidRPr="005B5926">
        <w:instrText>ADDIN RW.CITE{{977 Yen,Jerome 2000}}</w:instrText>
      </w:r>
      <w:r w:rsidRPr="00C33D31">
        <w:fldChar w:fldCharType="separate"/>
      </w:r>
      <w:r w:rsidR="009B1A7D">
        <w:t>[37]</w:t>
      </w:r>
      <w:r w:rsidRPr="00C33D31">
        <w:fldChar w:fldCharType="end"/>
      </w:r>
      <w:r w:rsidRPr="005B5926">
        <w:t xml:space="preserve">. Reference </w:t>
      </w:r>
      <w:r w:rsidRPr="001970B2">
        <w:fldChar w:fldCharType="begin"/>
      </w:r>
      <w:r w:rsidRPr="005B5926">
        <w:instrText>ADDIN RW.CITE{{610 Motamedi,A. 2010}}</w:instrText>
      </w:r>
      <w:r w:rsidRPr="001970B2">
        <w:fldChar w:fldCharType="separate"/>
      </w:r>
      <w:r w:rsidR="009B1A7D">
        <w:t>[36]</w:t>
      </w:r>
      <w:r w:rsidRPr="001970B2">
        <w:fldChar w:fldCharType="end"/>
      </w:r>
      <w:r w:rsidRPr="005B5926">
        <w:t xml:space="preserve"> performs transmission expansion planning using an ABM to consider the generation companies’ behavior, but does not use ABM to plan the transmission expansion itself. Reference </w:t>
      </w:r>
      <w:r w:rsidRPr="00C33D31">
        <w:fldChar w:fldCharType="begin"/>
      </w:r>
      <w:r w:rsidRPr="005B5926">
        <w:instrText>ADDIN RW.CITE{{977 Yen,Jerome 2000}}</w:instrText>
      </w:r>
      <w:r w:rsidRPr="00C33D31">
        <w:fldChar w:fldCharType="separate"/>
      </w:r>
      <w:r w:rsidR="009B1A7D">
        <w:t>[37]</w:t>
      </w:r>
      <w:r w:rsidRPr="00C33D31">
        <w:fldChar w:fldCharType="end"/>
      </w:r>
      <w:r w:rsidRPr="005B5926">
        <w:t xml:space="preserve"> uses </w:t>
      </w:r>
      <w:r>
        <w:t xml:space="preserve">an </w:t>
      </w:r>
      <w:r w:rsidRPr="005B5926">
        <w:t xml:space="preserve">ABM to identify coalitions in the system - that is, groups of two or more agents that would benefit from acting together. In this paper, coalitions are more likely to build transmission lines if all coalition members receive increased benefits, which are assessed by means of the bilateral Shapley value. </w:t>
      </w:r>
    </w:p>
    <w:p w:rsidR="00863B89" w:rsidRPr="005B5926" w:rsidRDefault="00863B89" w:rsidP="00863B89">
      <w:pPr>
        <w:pStyle w:val="MDPI31text"/>
      </w:pPr>
      <w:r w:rsidRPr="005B5926">
        <w:lastRenderedPageBreak/>
        <w:t>Our work differs from these previous ar</w:t>
      </w:r>
      <w:r>
        <w:t>ticles in two main ways. First</w:t>
      </w:r>
      <w:r w:rsidRPr="005B5926">
        <w:t>, they consider a context where transmission is deregulated, while we assume that transmission planning is performed in a centralized way in accordance with the structure of the system in most countries. Secondly, they define agents that coincide with real agents in the system – generator companies, retailers or merchant line operators –that maximize their individual profits. Our agents do not coincide with real companies and do not maximize their individual profits. Our agents are an interpretation of the cells of P. Plasmodium, which build a network to benefit the entire organism</w:t>
      </w:r>
      <w:r>
        <w:t>, which we assimilate to the whole power system</w:t>
      </w:r>
      <w:r w:rsidRPr="005B5926">
        <w:t xml:space="preserve">. It is important to note that our aim is not to simulate the behavior of the entities that use the power transmission network but to create efficient power grid designs drawing inspiration from slime </w:t>
      </w:r>
      <w:r w:rsidR="004D2A1F">
        <w:t>mold</w:t>
      </w:r>
      <w:r w:rsidRPr="005B5926">
        <w:t xml:space="preserve"> growth strategies. To do this, we use agents that, like the cells in the Plasmodium, use local</w:t>
      </w:r>
      <w:bookmarkEnd w:id="3"/>
      <w:r w:rsidRPr="005B5926">
        <w:t xml:space="preserve"> information to build the links in the network.</w:t>
      </w:r>
      <w:r>
        <w:t xml:space="preserve"> This local information is complemented with data about the global dynamics of the system that is introduced at each simulation step.</w:t>
      </w:r>
      <w:r w:rsidR="004D2A1F">
        <w:t xml:space="preserve"> Therefore, we conceive this algorithm as a support tool for a central planner: the final network result should be treated in the same way as the result from a classical optimization algorithm. </w:t>
      </w:r>
    </w:p>
    <w:p w:rsidR="0075261E" w:rsidRPr="00997F64" w:rsidRDefault="00473D7D" w:rsidP="0075261E">
      <w:pPr>
        <w:pStyle w:val="MDPI21heading1"/>
      </w:pPr>
      <w:r>
        <w:t>2</w:t>
      </w:r>
      <w:r w:rsidR="0075261E" w:rsidRPr="00997F64">
        <w:t xml:space="preserve">. </w:t>
      </w:r>
      <w:r w:rsidR="0075261E">
        <w:t>Materials and methods</w:t>
      </w:r>
    </w:p>
    <w:p w:rsidR="0075261E" w:rsidRPr="0075261E" w:rsidRDefault="0075261E" w:rsidP="00FE2D94">
      <w:pPr>
        <w:pStyle w:val="MDPI31text"/>
      </w:pPr>
      <w:r w:rsidRPr="0075261E">
        <w:t xml:space="preserve">This section describes the </w:t>
      </w:r>
      <w:r w:rsidR="004D2A1F">
        <w:t>mold</w:t>
      </w:r>
      <w:r w:rsidRPr="0075261E">
        <w:t>-inspired ABM power-network model, which is one of the main contributions of this paper. The first part of this section explains the fundamental differences between the power network and other typical network problems, and the modeling challenges this entails. Then, we present our novel modeling framework, which, by combining ABM and classical optimization, allows us to successfully tackle the TEP problem.</w:t>
      </w:r>
    </w:p>
    <w:p w:rsidR="0075261E" w:rsidRPr="0075261E" w:rsidRDefault="0075261E" w:rsidP="00473D7D">
      <w:pPr>
        <w:pStyle w:val="MDPI22heading2"/>
        <w:numPr>
          <w:ilvl w:val="1"/>
          <w:numId w:val="12"/>
        </w:numPr>
      </w:pPr>
      <w:bookmarkStart w:id="4" w:name="_Ref504741143"/>
      <w:r w:rsidRPr="0075261E">
        <w:t>How power networks differ from other network problems</w:t>
      </w:r>
      <w:bookmarkEnd w:id="4"/>
    </w:p>
    <w:p w:rsidR="0075261E" w:rsidRPr="0075261E" w:rsidRDefault="0075261E" w:rsidP="00FE2D94">
      <w:pPr>
        <w:pStyle w:val="MDPI31text"/>
      </w:pPr>
      <w:r w:rsidRPr="0075261E">
        <w:t xml:space="preserve">The power grid presents additional features that make it fundamentally different, and more complicated than a plain transportation network design problem, which can be addressed by slime </w:t>
      </w:r>
      <w:r w:rsidR="004D2A1F">
        <w:t>mold</w:t>
      </w:r>
      <w:r w:rsidRPr="0075261E">
        <w:t xml:space="preserve"> ABM in a straightforward way. These two features are as follows:</w:t>
      </w:r>
    </w:p>
    <w:p w:rsidR="0075261E" w:rsidRPr="0075261E" w:rsidRDefault="0075261E" w:rsidP="00FE2D94">
      <w:pPr>
        <w:pStyle w:val="MDPI31text"/>
      </w:pPr>
      <w:r w:rsidRPr="0075261E">
        <w:t>First, in a power network, load centers are usually geographically separated from power generation locations due to geological and meteorological constraints. Therefore, we need to consider two different types of nodes: nodes where we have power generation, and nodes where we have power consumptions (load centers). Hence, the first challenge for ABM to address transmission expansion planning is to be able to differentiate among these two types of nodes. Moreover, not all generation nodes are equivalent: cheap generation must be used preferentially. The algorithm should be able to integrate also price information into its mechanics.</w:t>
      </w:r>
    </w:p>
    <w:p w:rsidR="0075261E" w:rsidRPr="0075261E" w:rsidRDefault="0075261E" w:rsidP="00FE2D94">
      <w:pPr>
        <w:pStyle w:val="MDPI31text"/>
      </w:pPr>
      <w:r w:rsidRPr="0075261E">
        <w:t>Second, within a power network, energy flows are governed by physical laws: Kirchhoff’s laws. This makes power transmission fundamentally different from plain transportation problems. Replicating  Kirchhoff’s laws and incorporating them into an ABM decision making process is one of the main challenges addressed in this article. Each node has a state defined by a voltage (a voltage angle in the case of a linear power-flow model), and each line has a power flow that traverses it. Kirchhoff’s laws, as expressed in section 3, link these voltages and currents. These laws mean that it is not possible to serve demand by sending power through the network in a cost-optimal way (that is, always from the cheapest source of energy). The OPF (Optimal Power Flow) problem is the problem of finding the most efficient way of satisfying demand using existing generators considering their production costs and generation capacities, as well as the capacities of the existing transmission lines and the physical laws that govern the power flows. The formulation described in the section above corresponds to an OPF.</w:t>
      </w:r>
    </w:p>
    <w:p w:rsidR="0075261E" w:rsidRPr="0075261E" w:rsidRDefault="0075261E" w:rsidP="0075261E">
      <w:pPr>
        <w:pStyle w:val="Testo"/>
        <w:rPr>
          <w:rFonts w:ascii="Palatino Linotype" w:hAnsi="Palatino Linotype"/>
        </w:rPr>
      </w:pPr>
      <w:r w:rsidRPr="0075261E">
        <w:rPr>
          <w:rFonts w:ascii="Palatino Linotype" w:hAnsi="Palatino Linotype"/>
        </w:rPr>
        <w:t>We tackle these challenges by combining standard optimization methods and ABM. The next section details our approach.</w:t>
      </w:r>
    </w:p>
    <w:p w:rsidR="0075261E" w:rsidRPr="0075261E" w:rsidRDefault="0075261E" w:rsidP="00473D7D">
      <w:pPr>
        <w:pStyle w:val="Els-2ndorder-head"/>
        <w:numPr>
          <w:ilvl w:val="1"/>
          <w:numId w:val="12"/>
        </w:numPr>
        <w:rPr>
          <w:rFonts w:ascii="Palatino Linotype" w:hAnsi="Palatino Linotype"/>
        </w:rPr>
      </w:pPr>
      <w:bookmarkStart w:id="5" w:name="_Ref504741154"/>
      <w:r w:rsidRPr="0075261E">
        <w:rPr>
          <w:rFonts w:ascii="Palatino Linotype" w:hAnsi="Palatino Linotype"/>
        </w:rPr>
        <w:lastRenderedPageBreak/>
        <w:t xml:space="preserve">Transmission expansion planning translated into framework of slime </w:t>
      </w:r>
      <w:r w:rsidR="004D2A1F">
        <w:rPr>
          <w:rFonts w:ascii="Palatino Linotype" w:hAnsi="Palatino Linotype"/>
        </w:rPr>
        <w:t>mold</w:t>
      </w:r>
      <w:r w:rsidRPr="0075261E">
        <w:rPr>
          <w:rFonts w:ascii="Palatino Linotype" w:hAnsi="Palatino Linotype"/>
        </w:rPr>
        <w:t>-inspired ABM</w:t>
      </w:r>
      <w:bookmarkEnd w:id="5"/>
      <w:r w:rsidRPr="0075261E">
        <w:rPr>
          <w:rFonts w:ascii="Palatino Linotype" w:hAnsi="Palatino Linotype"/>
        </w:rPr>
        <w:t xml:space="preserve"> </w:t>
      </w:r>
    </w:p>
    <w:p w:rsidR="0075261E" w:rsidRPr="0075261E" w:rsidRDefault="0075261E" w:rsidP="00FE2D94">
      <w:pPr>
        <w:pStyle w:val="MDPI31text"/>
      </w:pPr>
      <w:r w:rsidRPr="0075261E">
        <w:t xml:space="preserve">In this section, first, we point out how we addressed the difficulties of power grid expansion planning, within an ABM framework. Then, we explain the applied methodology in detail. The two features, mentioned in section </w:t>
      </w:r>
      <w:r w:rsidRPr="0075261E">
        <w:fldChar w:fldCharType="begin"/>
      </w:r>
      <w:r w:rsidRPr="0075261E">
        <w:instrText xml:space="preserve"> REF _Ref504741143 \r \h  \* MERGEFORMAT </w:instrText>
      </w:r>
      <w:r w:rsidRPr="0075261E">
        <w:fldChar w:fldCharType="separate"/>
      </w:r>
      <w:r w:rsidR="00822D91">
        <w:t>1.1</w:t>
      </w:r>
      <w:r w:rsidRPr="0075261E">
        <w:fldChar w:fldCharType="end"/>
      </w:r>
      <w:r w:rsidRPr="0075261E">
        <w:t>, have been tackled as follows:</w:t>
      </w:r>
    </w:p>
    <w:p w:rsidR="0075261E" w:rsidRPr="0075261E" w:rsidRDefault="0075261E" w:rsidP="00FE2D94">
      <w:pPr>
        <w:pStyle w:val="MDPI31text"/>
      </w:pPr>
      <w:r w:rsidRPr="0075261E">
        <w:t>The two different types of nodes (generation and consumption) have been translated into the ABM as sources (generators) and sinks (loads), each with their different attributes corresponding to different variable generation costs and capacities.</w:t>
      </w:r>
      <w:r w:rsidR="00FE2D94">
        <w:t xml:space="preserve"> </w:t>
      </w:r>
      <w:r w:rsidRPr="0075261E">
        <w:t>A standard slime-</w:t>
      </w:r>
      <w:r w:rsidR="004D2A1F">
        <w:t>mold</w:t>
      </w:r>
      <w:r w:rsidRPr="0075261E">
        <w:t xml:space="preserve"> ABM is not capable of replicating the physical laws that govern power flows. While the most efficient way of taking food to the core of the slime </w:t>
      </w:r>
      <w:r w:rsidR="004D2A1F">
        <w:t>mold</w:t>
      </w:r>
      <w:r w:rsidRPr="0075261E">
        <w:t xml:space="preserve"> is to follow minimum-distance paths, the most efficient use of power transmission lines is more difficult to assess and represent. This is due to the fact that the classic approach of ABM in the transport network takes only into account the Kirchhoff’s First Law (inputs equal outputs at each node), but not the Second Law (voltage differences). One of our contributions is to incorporate power-flow conside</w:t>
      </w:r>
      <w:r w:rsidR="00FE2D94">
        <w:t xml:space="preserve">rations into the ABM framework. </w:t>
      </w:r>
      <w:r w:rsidRPr="0075261E">
        <w:t xml:space="preserve">The OPF problem can be solved efficiently (after having approximated it by a standard linear optimization problem referred to DC-OPF) as a standard optimization problem. We have modeled and solved the OPF using Linear Programming (LP) implemented in GAMS as optimization software. Detailed descriptions of the properties of the DC-OPF problem can be found for instance in </w:t>
      </w:r>
      <w:r w:rsidRPr="0075261E">
        <w:fldChar w:fldCharType="begin"/>
      </w:r>
      <w:r w:rsidRPr="0075261E">
        <w:instrText>ADDIN RW.CITE{{1146 Palma-Benhke, Rodrigo 2013}}</w:instrText>
      </w:r>
      <w:r w:rsidRPr="0075261E">
        <w:fldChar w:fldCharType="separate"/>
      </w:r>
      <w:r w:rsidR="009B1A7D">
        <w:t>[38]</w:t>
      </w:r>
      <w:r w:rsidRPr="0075261E">
        <w:fldChar w:fldCharType="end"/>
      </w:r>
      <w:r w:rsidRPr="0075261E">
        <w:t>The main results of this optimization are nodal prices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i</m:t>
            </m:r>
          </m:sub>
          <m:sup>
            <m:r>
              <m:rPr>
                <m:sty m:val="p"/>
              </m:rPr>
              <w:rPr>
                <w:rFonts w:ascii="Cambria Math" w:hAnsi="Cambria Math"/>
              </w:rPr>
              <m:t>ω</m:t>
            </m:r>
          </m:sup>
        </m:sSubSup>
      </m:oMath>
      <w:r w:rsidRPr="0075261E">
        <w:t xml:space="preserve"> in our formulation, corresponding to dual variables which can be defined as the cost of serving one additional MW of load at a given location), voltages and power flows. We follow the ODD documentation protocol </w:t>
      </w:r>
      <w:r w:rsidRPr="0075261E">
        <w:fldChar w:fldCharType="begin"/>
      </w:r>
      <w:r w:rsidRPr="0075261E">
        <w:instrText>ADDIN RW.CITE{{1047 Grimm, Volker 2006}}</w:instrText>
      </w:r>
      <w:r w:rsidRPr="0075261E">
        <w:fldChar w:fldCharType="separate"/>
      </w:r>
      <w:r w:rsidR="009B1A7D">
        <w:t>[39]</w:t>
      </w:r>
      <w:r w:rsidRPr="0075261E">
        <w:fldChar w:fldCharType="end"/>
      </w:r>
      <w:r w:rsidRPr="0075261E">
        <w:t xml:space="preserve"> to develop the ABM. The model creates an efficient power network and is able to account operation and investment costs. It is coded in Netlogo 5.2 and we uploaded it to the website </w:t>
      </w:r>
      <w:hyperlink r:id="rId7" w:history="1">
        <w:r w:rsidRPr="0075261E">
          <w:t>www.openabm.org</w:t>
        </w:r>
      </w:hyperlink>
      <w:r w:rsidRPr="0075261E">
        <w:t>. At each iteration, the ABM solves an OPF using linear programming using GAMS in order to make sure that the power flows respect Kirchhoff’s Laws and to get information such as line flows and nodal prices.</w:t>
      </w:r>
    </w:p>
    <w:p w:rsidR="00FE2D94" w:rsidRDefault="0075261E" w:rsidP="00FE2D94">
      <w:pPr>
        <w:pStyle w:val="MDPI31text"/>
      </w:pPr>
      <w:r w:rsidRPr="0075261E">
        <w:t xml:space="preserve">The model contemplates three kinds of agents: sinks (demand), sources (generators), and links (transmission lines). Sources generate a certain amount of electrical power (variable </w:t>
      </w:r>
      <w:r w:rsidRPr="00FE2D94">
        <w:t>gen</w:t>
      </w:r>
      <w:r w:rsidRPr="0075261E">
        <w:t>), according to a maximum generation capacity. Sources have an attribute type. This type affects their maximum capacity and production cost. It models different production technologies such as gas-fired, coal, nuclear or renewable generation. Sinks represent nodes where demand is located (urban or industrial centers). Links represent transmission lines.</w:t>
      </w:r>
    </w:p>
    <w:p w:rsidR="0075261E" w:rsidRPr="0075261E" w:rsidRDefault="0075261E" w:rsidP="00FE2D94">
      <w:pPr>
        <w:pStyle w:val="MDPI31text"/>
      </w:pPr>
      <w:r w:rsidRPr="0075261E">
        <w:t xml:space="preserve">The ABM carries out an iterative process depicted in </w:t>
      </w:r>
      <w:r w:rsidRPr="0075261E">
        <w:fldChar w:fldCharType="begin"/>
      </w:r>
      <w:r w:rsidRPr="0075261E">
        <w:instrText xml:space="preserve"> REF _Ref504739806 \h </w:instrText>
      </w:r>
      <w:r>
        <w:instrText xml:space="preserve"> \* MERGEFORMAT </w:instrText>
      </w:r>
      <w:r w:rsidRPr="0075261E">
        <w:fldChar w:fldCharType="separate"/>
      </w:r>
      <w:r w:rsidR="00822D91" w:rsidRPr="0075261E">
        <w:t xml:space="preserve">Fig. </w:t>
      </w:r>
      <w:r w:rsidR="00822D91">
        <w:t>1</w:t>
      </w:r>
      <w:r w:rsidRPr="0075261E">
        <w:fldChar w:fldCharType="end"/>
      </w:r>
      <w:r w:rsidRPr="0075261E">
        <w:t xml:space="preserve"> and described below. The process is based on demand centers having a growing area of influence where they can source for energy. New links are created within these areas of influence and are later reinforced or eliminated based on their efficiency. After an initialization, in which the number, location and type of the sinks and sources is determined, for each time step, the following processes are executed:</w:t>
      </w:r>
    </w:p>
    <w:p w:rsidR="00FE2D94" w:rsidRPr="00FE2D94" w:rsidRDefault="0075261E" w:rsidP="00FE2D94">
      <w:pPr>
        <w:pStyle w:val="MDPI31text"/>
        <w:numPr>
          <w:ilvl w:val="0"/>
          <w:numId w:val="10"/>
        </w:numPr>
        <w:rPr>
          <w:i/>
        </w:rPr>
      </w:pPr>
      <w:r w:rsidRPr="00FE2D94">
        <w:rPr>
          <w:i/>
        </w:rPr>
        <w:t xml:space="preserve">Update </w:t>
      </w:r>
    </w:p>
    <w:p w:rsidR="0075261E" w:rsidRPr="0075261E" w:rsidRDefault="0075261E" w:rsidP="00FE2D94">
      <w:pPr>
        <w:pStyle w:val="MDPI31text"/>
      </w:pPr>
      <w:r w:rsidRPr="0075261E">
        <w:t xml:space="preserve">Update the influence area of sources and sinks (we refer to this as </w:t>
      </w:r>
      <w:r w:rsidRPr="00FE2D94">
        <w:t>halo</w:t>
      </w:r>
      <w:r w:rsidRPr="0075261E">
        <w:t>), which defines the maximum area in which agents will contemplate the creation of links.</w:t>
      </w:r>
    </w:p>
    <w:p w:rsidR="0075261E" w:rsidRPr="00FE2D94" w:rsidRDefault="00FE2D94" w:rsidP="00FE2D94">
      <w:pPr>
        <w:pStyle w:val="MDPI31text"/>
        <w:numPr>
          <w:ilvl w:val="0"/>
          <w:numId w:val="10"/>
        </w:numPr>
        <w:rPr>
          <w:i/>
        </w:rPr>
      </w:pPr>
      <w:r>
        <w:rPr>
          <w:i/>
        </w:rPr>
        <w:t>Create</w:t>
      </w:r>
    </w:p>
    <w:p w:rsidR="0075261E" w:rsidRPr="0075261E" w:rsidRDefault="0075261E" w:rsidP="00FE2D94">
      <w:pPr>
        <w:pStyle w:val="MDPI31text"/>
      </w:pPr>
      <w:r w:rsidRPr="0075261E">
        <w:t>Create new links.</w:t>
      </w:r>
    </w:p>
    <w:p w:rsidR="0075261E" w:rsidRPr="00FE2D94" w:rsidRDefault="0075261E" w:rsidP="00FE2D94">
      <w:pPr>
        <w:pStyle w:val="MDPI31text"/>
        <w:numPr>
          <w:ilvl w:val="0"/>
          <w:numId w:val="10"/>
        </w:numPr>
        <w:rPr>
          <w:i/>
        </w:rPr>
      </w:pPr>
      <w:r w:rsidRPr="00FE2D94">
        <w:rPr>
          <w:i/>
        </w:rPr>
        <w:t>Calculate power flows</w:t>
      </w:r>
    </w:p>
    <w:p w:rsidR="0075261E" w:rsidRPr="0075261E" w:rsidRDefault="0075261E" w:rsidP="00FE2D94">
      <w:pPr>
        <w:pStyle w:val="MDPI31text"/>
      </w:pPr>
      <w:r w:rsidRPr="0075261E">
        <w:t>This step is carried out by means of solving a DC-OPF problem, which incorporates Kirchhoff’s Laws. The optimal power flows respecting these laws, as well as nodal prices are calculated by GAMS and fed back into Netlogo.</w:t>
      </w:r>
    </w:p>
    <w:p w:rsidR="0075261E" w:rsidRPr="00FE2D94" w:rsidRDefault="0075261E" w:rsidP="00FE2D94">
      <w:pPr>
        <w:pStyle w:val="MDPI31text"/>
        <w:numPr>
          <w:ilvl w:val="0"/>
          <w:numId w:val="10"/>
        </w:numPr>
        <w:rPr>
          <w:i/>
        </w:rPr>
      </w:pPr>
      <w:r w:rsidRPr="00FE2D94">
        <w:rPr>
          <w:i/>
        </w:rPr>
        <w:t>Calibrate cables.</w:t>
      </w:r>
    </w:p>
    <w:p w:rsidR="0075261E" w:rsidRDefault="0075261E" w:rsidP="00FE2D94">
      <w:pPr>
        <w:pStyle w:val="MDPI31text"/>
      </w:pPr>
      <w:r w:rsidRPr="0075261E">
        <w:t xml:space="preserve">Update cable capacity taking into account how efficient each transmission line currently is for the system. For this, we calculate the benefit brought by the transmission line and compare it to its investment cost. The potential benefit brought by the transmission line is approximated as its flow relative to its capacity times the difference in the nodal prices at its extremes. We can imagine this benefit as the profit that an investor would derive from using the line: if prices are different at the extremes, she could buy at the cheaper side and sell at the more expensive one. Hence, the potential benefit would be equivalent to the flow through the line times the difference in prices. This means that if power is sent from a cheaper to a more expensive area, the potential benefit is larger. The benefit is also larger if the </w:t>
      </w:r>
      <w:r w:rsidRPr="0075261E">
        <w:lastRenderedPageBreak/>
        <w:t>capacity of the cable is used in full (that is, if the DC-OPF problem determines that the flow through the line equals its capacity). It should be noted that, in general, Kirchhoff’s Laws mean that the cable capacity is not used in full.</w:t>
      </w:r>
    </w:p>
    <w:tbl>
      <w:tblPr>
        <w:tblW w:w="5000" w:type="pct"/>
        <w:jc w:val="center"/>
        <w:tblCellMar>
          <w:left w:w="0" w:type="dxa"/>
          <w:right w:w="0" w:type="dxa"/>
        </w:tblCellMar>
        <w:tblLook w:val="04A0" w:firstRow="1" w:lastRow="0" w:firstColumn="1" w:lastColumn="0" w:noHBand="0" w:noVBand="1"/>
      </w:tblPr>
      <w:tblGrid>
        <w:gridCol w:w="8409"/>
        <w:gridCol w:w="435"/>
      </w:tblGrid>
      <w:tr w:rsidR="00FE2D94" w:rsidRPr="00997F64" w:rsidTr="00C97B8F">
        <w:trPr>
          <w:jc w:val="center"/>
        </w:trPr>
        <w:tc>
          <w:tcPr>
            <w:tcW w:w="4754" w:type="pct"/>
            <w:shd w:val="clear" w:color="auto" w:fill="auto"/>
          </w:tcPr>
          <w:p w:rsidR="00FE2D94" w:rsidRPr="00997F64" w:rsidRDefault="00FE2D94" w:rsidP="00C97B8F">
            <w:pPr>
              <w:pStyle w:val="MDPI39equation"/>
            </w:pPr>
            <m:oMath>
              <m:r>
                <w:rPr>
                  <w:rFonts w:ascii="Cambria Math" w:hAnsi="Cambria Math"/>
                </w:rPr>
                <m:t>abs</m:t>
              </m:r>
              <m:d>
                <m:dPr>
                  <m:ctrlPr>
                    <w:rPr>
                      <w:rFonts w:ascii="Cambria Math" w:hAnsi="Cambria Math"/>
                    </w:rPr>
                  </m:ctrlPr>
                </m:dPr>
                <m:e>
                  <m:r>
                    <w:rPr>
                      <w:rFonts w:ascii="Cambria Math" w:hAnsi="Cambria Math"/>
                    </w:rPr>
                    <m:t>Potential</m:t>
                  </m:r>
                  <m:r>
                    <m:rPr>
                      <m:sty m:val="p"/>
                    </m:rPr>
                    <w:rPr>
                      <w:rFonts w:ascii="Cambria Math" w:hAnsi="Cambria Math"/>
                    </w:rPr>
                    <m:t xml:space="preserve"> </m:t>
                  </m:r>
                  <m:r>
                    <w:rPr>
                      <w:rFonts w:ascii="Cambria Math" w:hAnsi="Cambria Math"/>
                    </w:rPr>
                    <m:t>Benefit</m:t>
                  </m:r>
                  <m:r>
                    <m:rPr>
                      <m:sty m:val="p"/>
                    </m:rPr>
                    <w:rPr>
                      <w:rFonts w:ascii="Cambria Math" w:hAnsi="Cambria Math"/>
                    </w:rPr>
                    <m:t>·</m:t>
                  </m:r>
                  <m:r>
                    <w:rPr>
                      <w:rFonts w:ascii="Cambria Math" w:hAnsi="Cambria Math"/>
                    </w:rPr>
                    <m:t>cabl</m:t>
                  </m:r>
                  <m:sSub>
                    <m:sSubPr>
                      <m:ctrlPr>
                        <w:rPr>
                          <w:rFonts w:ascii="Cambria Math" w:hAnsi="Cambria Math"/>
                        </w:rPr>
                      </m:ctrlPr>
                    </m:sSubPr>
                    <m:e>
                      <m:r>
                        <w:rPr>
                          <w:rFonts w:ascii="Cambria Math" w:hAnsi="Cambria Math"/>
                        </w:rPr>
                        <m:t>e</m:t>
                      </m:r>
                    </m:e>
                    <m:sub>
                      <m:r>
                        <w:rPr>
                          <w:rFonts w:ascii="Cambria Math" w:hAnsi="Cambria Math"/>
                        </w:rPr>
                        <m:t>flow</m:t>
                      </m:r>
                    </m:sub>
                  </m:sSub>
                </m:e>
              </m:d>
              <m:r>
                <m:rPr>
                  <m:sty m:val="p"/>
                </m:rPr>
                <w:rPr>
                  <w:rFonts w:ascii="Cambria Math" w:hAnsi="Cambria Math" w:hint="eastAsia"/>
                </w:rPr>
                <m:t>≥</m:t>
              </m:r>
              <m:r>
                <m:rPr>
                  <m:sty m:val="p"/>
                </m:rPr>
                <w:rPr>
                  <w:rFonts w:ascii="Cambria Math" w:hAnsi="Cambria Math" w:hint="eastAsia"/>
                </w:rPr>
                <m:t xml:space="preserve"> </m:t>
              </m:r>
              <m:r>
                <w:rPr>
                  <w:rFonts w:ascii="Cambria Math" w:hAnsi="Cambria Math" w:hint="eastAsia"/>
                </w:rPr>
                <m:t>Single</m:t>
              </m:r>
              <m:r>
                <m:rPr>
                  <m:sty m:val="p"/>
                </m:rPr>
                <w:rPr>
                  <w:rFonts w:ascii="Cambria Math" w:hAnsi="Cambria Math" w:hint="eastAsia"/>
                </w:rPr>
                <m:t xml:space="preserve"> </m:t>
              </m:r>
              <m:r>
                <w:rPr>
                  <w:rFonts w:ascii="Cambria Math" w:hAnsi="Cambria Math" w:hint="eastAsia"/>
                </w:rPr>
                <m:t>Investment</m:t>
              </m:r>
              <m:r>
                <m:rPr>
                  <m:sty m:val="p"/>
                </m:rPr>
                <w:rPr>
                  <w:rFonts w:ascii="Cambria Math" w:hAnsi="Cambria Math" w:hint="eastAsia"/>
                </w:rPr>
                <m:t xml:space="preserve"> </m:t>
              </m:r>
              <m:r>
                <w:rPr>
                  <w:rFonts w:ascii="Cambria Math" w:hAnsi="Cambria Math" w:hint="eastAsia"/>
                </w:rPr>
                <m:t>Cost</m:t>
              </m:r>
            </m:oMath>
            <w:r w:rsidRPr="00997F64">
              <w:t>,</w:t>
            </w:r>
          </w:p>
        </w:tc>
        <w:tc>
          <w:tcPr>
            <w:tcW w:w="246" w:type="pct"/>
            <w:shd w:val="clear" w:color="auto" w:fill="auto"/>
            <w:vAlign w:val="center"/>
          </w:tcPr>
          <w:p w:rsidR="00FE2D94" w:rsidRPr="00997F64" w:rsidRDefault="00FE2D94" w:rsidP="00C97B8F">
            <w:pPr>
              <w:pStyle w:val="MDPI3aequationnumber"/>
              <w:spacing w:line="260" w:lineRule="atLeast"/>
            </w:pPr>
            <w:r>
              <w:t>(8</w:t>
            </w:r>
            <w:r w:rsidRPr="00997F64">
              <w:t>)</w:t>
            </w:r>
          </w:p>
        </w:tc>
      </w:tr>
      <w:tr w:rsidR="00FE2D94" w:rsidRPr="00997F64" w:rsidTr="00C97B8F">
        <w:trPr>
          <w:jc w:val="center"/>
        </w:trPr>
        <w:tc>
          <w:tcPr>
            <w:tcW w:w="4754" w:type="pct"/>
            <w:shd w:val="clear" w:color="auto" w:fill="auto"/>
          </w:tcPr>
          <w:p w:rsidR="00FE2D94" w:rsidRPr="00997F64" w:rsidRDefault="00E0272D" w:rsidP="00E0272D">
            <w:pPr>
              <w:pStyle w:val="MDPI39equation"/>
            </w:pPr>
            <m:oMathPara>
              <m:oMath>
                <m:r>
                  <w:rPr>
                    <w:rFonts w:ascii="Cambria Math" w:hAnsi="Cambria Math"/>
                  </w:rPr>
                  <m:t>Potential</m:t>
                </m:r>
                <m:r>
                  <m:rPr>
                    <m:sty m:val="p"/>
                  </m:rPr>
                  <w:rPr>
                    <w:rFonts w:ascii="Cambria Math" w:hAnsi="Cambria Math"/>
                  </w:rPr>
                  <m:t xml:space="preserve"> </m:t>
                </m:r>
                <m:r>
                  <w:rPr>
                    <w:rFonts w:ascii="Cambria Math" w:hAnsi="Cambria Math"/>
                  </w:rPr>
                  <m:t>Benefit</m:t>
                </m:r>
                <m:r>
                  <m:rPr>
                    <m:sty m:val="p"/>
                  </m:rPr>
                  <w:rPr>
                    <w:rFonts w:ascii="Cambria Math" w:hAnsi="Cambria Math"/>
                  </w:rPr>
                  <m:t>=</m:t>
                </m:r>
                <m:sSub>
                  <m:sSubPr>
                    <m:ctrlPr>
                      <w:rPr>
                        <w:rFonts w:ascii="Cambria Math" w:hAnsi="Cambria Math"/>
                      </w:rPr>
                    </m:ctrlPr>
                  </m:sSubPr>
                  <m:e>
                    <m:r>
                      <w:rPr>
                        <w:rFonts w:ascii="Cambria Math" w:hAnsi="Cambria Math"/>
                      </w:rPr>
                      <m:t>Price</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Price</m:t>
                    </m:r>
                  </m:e>
                  <m:sub>
                    <m:r>
                      <w:rPr>
                        <w:rFonts w:ascii="Cambria Math" w:hAnsi="Cambria Math"/>
                      </w:rPr>
                      <m:t>j</m:t>
                    </m:r>
                  </m:sub>
                </m:sSub>
              </m:oMath>
            </m:oMathPara>
          </w:p>
        </w:tc>
        <w:tc>
          <w:tcPr>
            <w:tcW w:w="246" w:type="pct"/>
            <w:shd w:val="clear" w:color="auto" w:fill="auto"/>
            <w:vAlign w:val="center"/>
          </w:tcPr>
          <w:p w:rsidR="00FE2D94" w:rsidRPr="00997F64" w:rsidRDefault="00FE2D94" w:rsidP="00C97B8F">
            <w:pPr>
              <w:pStyle w:val="MDPI3aequationnumber"/>
              <w:spacing w:line="260" w:lineRule="atLeast"/>
            </w:pPr>
            <w:r>
              <w:t>(9</w:t>
            </w:r>
            <w:r w:rsidRPr="00997F64">
              <w:t>)</w:t>
            </w:r>
          </w:p>
        </w:tc>
      </w:tr>
    </w:tbl>
    <w:p w:rsidR="0075261E" w:rsidRPr="0075261E" w:rsidRDefault="0075261E" w:rsidP="00FE2D94">
      <w:pPr>
        <w:pStyle w:val="MDPI31text"/>
      </w:pPr>
      <w:r w:rsidRPr="0075261E">
        <w:t>It should be noted that this potential benefit will be affected by the synergy among transmission lines installed and further eroded by the effect of transmission losses, so in general it is not to a final benefit obtained from the line.</w:t>
      </w:r>
    </w:p>
    <w:p w:rsidR="0075261E" w:rsidRPr="0075261E" w:rsidRDefault="0075261E" w:rsidP="00FE2D94">
      <w:pPr>
        <w:pStyle w:val="MDPI31text"/>
      </w:pPr>
    </w:p>
    <w:p w:rsidR="0075261E" w:rsidRDefault="0075261E" w:rsidP="00FE2D94">
      <w:pPr>
        <w:pStyle w:val="MDPI31text"/>
      </w:pPr>
      <w:r w:rsidRPr="0075261E">
        <w:t xml:space="preserve">The </w:t>
      </w:r>
      <w:r w:rsidRPr="00FE2D94">
        <w:t>Single Investment Cost</w:t>
      </w:r>
      <w:r w:rsidRPr="0075261E">
        <w:t xml:space="preserve"> is defined as the link length [m] times the capacity of the line [MW] and times the cost of building a cable [K€/Km]:</w:t>
      </w:r>
    </w:p>
    <w:tbl>
      <w:tblPr>
        <w:tblW w:w="5000" w:type="pct"/>
        <w:jc w:val="center"/>
        <w:tblCellMar>
          <w:left w:w="0" w:type="dxa"/>
          <w:right w:w="0" w:type="dxa"/>
        </w:tblCellMar>
        <w:tblLook w:val="04A0" w:firstRow="1" w:lastRow="0" w:firstColumn="1" w:lastColumn="0" w:noHBand="0" w:noVBand="1"/>
      </w:tblPr>
      <w:tblGrid>
        <w:gridCol w:w="8409"/>
        <w:gridCol w:w="435"/>
      </w:tblGrid>
      <w:tr w:rsidR="00FE2D94" w:rsidRPr="00997F64" w:rsidTr="00C97B8F">
        <w:trPr>
          <w:jc w:val="center"/>
        </w:trPr>
        <w:tc>
          <w:tcPr>
            <w:tcW w:w="4754" w:type="pct"/>
            <w:shd w:val="clear" w:color="auto" w:fill="auto"/>
          </w:tcPr>
          <w:p w:rsidR="00FE2D94" w:rsidRPr="00997F64" w:rsidRDefault="00E0272D" w:rsidP="00E0272D">
            <w:pPr>
              <w:pStyle w:val="MDPI39equation"/>
            </w:pPr>
            <m:oMathPara>
              <m:oMath>
                <m:r>
                  <w:rPr>
                    <w:rFonts w:ascii="Cambria Math" w:hAnsi="Cambria Math"/>
                  </w:rPr>
                  <m:t>Link</m:t>
                </m:r>
                <m:r>
                  <m:rPr>
                    <m:sty m:val="p"/>
                  </m:rPr>
                  <w:rPr>
                    <w:rFonts w:ascii="Cambria Math" w:hAnsi="Cambria Math"/>
                  </w:rPr>
                  <m:t xml:space="preserve"> </m:t>
                </m:r>
                <m:r>
                  <w:rPr>
                    <w:rFonts w:ascii="Cambria Math" w:hAnsi="Cambria Math"/>
                  </w:rPr>
                  <m:t>Length</m:t>
                </m:r>
                <m:r>
                  <m:rPr>
                    <m:sty m:val="p"/>
                  </m:rPr>
                  <w:rPr>
                    <w:rFonts w:ascii="Cambria Math" w:hAnsi="Cambria Math"/>
                  </w:rPr>
                  <m:t>·</m:t>
                </m:r>
                <m:r>
                  <w:rPr>
                    <w:rFonts w:ascii="Cambria Math" w:hAnsi="Cambria Math"/>
                  </w:rPr>
                  <m:t>Capacity</m:t>
                </m:r>
                <m:r>
                  <m:rPr>
                    <m:sty m:val="p"/>
                  </m:rPr>
                  <w:rPr>
                    <w:rFonts w:ascii="Cambria Math" w:hAnsi="Cambria Math"/>
                  </w:rPr>
                  <m:t>·</m:t>
                </m:r>
                <m:r>
                  <w:rPr>
                    <w:rFonts w:ascii="Cambria Math" w:hAnsi="Cambria Math"/>
                  </w:rPr>
                  <m:t>Cable</m:t>
                </m:r>
                <m:r>
                  <m:rPr>
                    <m:sty m:val="p"/>
                  </m:rPr>
                  <w:rPr>
                    <w:rFonts w:ascii="Cambria Math" w:hAnsi="Cambria Math"/>
                  </w:rPr>
                  <m:t xml:space="preserve"> </m:t>
                </m:r>
                <m:r>
                  <w:rPr>
                    <w:rFonts w:ascii="Cambria Math" w:hAnsi="Cambria Math"/>
                  </w:rPr>
                  <m:t>Cost</m:t>
                </m:r>
              </m:oMath>
            </m:oMathPara>
          </w:p>
        </w:tc>
        <w:tc>
          <w:tcPr>
            <w:tcW w:w="246" w:type="pct"/>
            <w:shd w:val="clear" w:color="auto" w:fill="auto"/>
            <w:vAlign w:val="center"/>
          </w:tcPr>
          <w:p w:rsidR="00FE2D94" w:rsidRPr="00997F64" w:rsidRDefault="00FE2D94" w:rsidP="00E0272D">
            <w:pPr>
              <w:pStyle w:val="MDPI3aequationnumber"/>
              <w:spacing w:line="260" w:lineRule="atLeast"/>
            </w:pPr>
            <w:r>
              <w:t>(</w:t>
            </w:r>
            <w:r w:rsidR="00E0272D">
              <w:t>10</w:t>
            </w:r>
            <w:r w:rsidRPr="00997F64">
              <w:t>)</w:t>
            </w:r>
          </w:p>
        </w:tc>
      </w:tr>
    </w:tbl>
    <w:p w:rsidR="0075261E" w:rsidRPr="00FE2D94" w:rsidRDefault="0075261E" w:rsidP="00FE2D94">
      <w:pPr>
        <w:pStyle w:val="MDPI31text"/>
      </w:pPr>
      <w:r w:rsidRPr="0075261E">
        <w:t xml:space="preserve">If the difference between nodal prices (potential benefit) [€/MW] times the flow passing through the link [MW] is above the single investment cost of the cable, capacity is increased, reinforcing the transmission line. If not, then capacity is decreased. The nodal price is calculated in the optimization phase and is provided to Net Logo by GAMS. </w:t>
      </w:r>
      <m:oMath>
        <m:r>
          <m:rPr>
            <m:sty m:val="p"/>
          </m:rPr>
          <w:rPr>
            <w:rFonts w:ascii="Cambria Math" w:hAnsi="Cambria Math"/>
          </w:rPr>
          <m:t xml:space="preserve"> </m:t>
        </m:r>
      </m:oMath>
    </w:p>
    <w:p w:rsidR="0075261E" w:rsidRPr="0075261E" w:rsidRDefault="0075261E" w:rsidP="00FE2D94">
      <w:pPr>
        <w:pStyle w:val="MDPI31text"/>
      </w:pPr>
      <w:r w:rsidRPr="0075261E">
        <w:t>In general, links that are used are reinforced (their capacity is increased); links that are not used weaken (their capacity is decreased). The speed for increasing or decreasing cables is determined via a parameter. If a cable weakens below a minimum capacity, it is deemed no longer economically viable and are eliminated.</w:t>
      </w:r>
    </w:p>
    <w:p w:rsidR="0075261E" w:rsidRPr="00E0272D" w:rsidRDefault="0075261E" w:rsidP="00E0272D">
      <w:pPr>
        <w:pStyle w:val="MDPI31text"/>
        <w:numPr>
          <w:ilvl w:val="0"/>
          <w:numId w:val="10"/>
        </w:numPr>
        <w:rPr>
          <w:i/>
        </w:rPr>
      </w:pPr>
      <w:r w:rsidRPr="00E0272D">
        <w:rPr>
          <w:i/>
        </w:rPr>
        <w:t>Check convergence.</w:t>
      </w:r>
    </w:p>
    <w:p w:rsidR="0075261E" w:rsidRPr="0075261E" w:rsidRDefault="0075261E" w:rsidP="00FE2D94">
      <w:pPr>
        <w:pStyle w:val="MDPI31text"/>
      </w:pPr>
      <w:r w:rsidRPr="0075261E">
        <w:t xml:space="preserve">The simulation ends if a stationary state is reached (transmission lines are not modified by two consecutive iterations). </w:t>
      </w:r>
    </w:p>
    <w:p w:rsidR="0075261E" w:rsidRPr="0075261E" w:rsidRDefault="0075261E" w:rsidP="0075261E">
      <w:pPr>
        <w:rPr>
          <w:rFonts w:ascii="Palatino Linotype" w:hAnsi="Palatino Linotype"/>
        </w:rPr>
      </w:pPr>
    </w:p>
    <w:p w:rsidR="0075261E" w:rsidRPr="0075261E" w:rsidRDefault="00B12363" w:rsidP="00473D7D">
      <w:pPr>
        <w:keepNext/>
        <w:keepLines/>
        <w:spacing w:line="360" w:lineRule="auto"/>
        <w:jc w:val="left"/>
        <w:rPr>
          <w:rFonts w:ascii="Palatino Linotype" w:hAnsi="Palatino Linotype"/>
        </w:rPr>
      </w:pPr>
      <w:r w:rsidRPr="0075261E">
        <w:rPr>
          <w:rFonts w:ascii="Palatino Linotype" w:hAnsi="Palatino Linotype"/>
          <w:noProof/>
          <w:lang w:eastAsia="en-US"/>
        </w:rPr>
        <w:lastRenderedPageBreak/>
        <w:drawing>
          <wp:inline distT="0" distB="0" distL="0" distR="0">
            <wp:extent cx="5152335" cy="3425588"/>
            <wp:effectExtent l="0" t="0" r="0" b="3810"/>
            <wp:docPr id="177"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608" cy="3432418"/>
                    </a:xfrm>
                    <a:prstGeom prst="rect">
                      <a:avLst/>
                    </a:prstGeom>
                    <a:noFill/>
                    <a:ln>
                      <a:noFill/>
                    </a:ln>
                  </pic:spPr>
                </pic:pic>
              </a:graphicData>
            </a:graphic>
          </wp:inline>
        </w:drawing>
      </w:r>
    </w:p>
    <w:p w:rsidR="0075261E" w:rsidRPr="00473D7D" w:rsidRDefault="0075261E" w:rsidP="00473D7D">
      <w:pPr>
        <w:pStyle w:val="Descripcin"/>
        <w:keepNext/>
        <w:rPr>
          <w:rFonts w:ascii="Palatino Linotype" w:eastAsia="Times New Roman" w:hAnsi="Palatino Linotype"/>
          <w:color w:val="000000"/>
          <w:sz w:val="18"/>
          <w:lang w:val="en-US" w:eastAsia="de-DE" w:bidi="en-US"/>
        </w:rPr>
      </w:pPr>
      <w:bookmarkStart w:id="6" w:name="_Ref504739806"/>
      <w:r w:rsidRPr="00473D7D">
        <w:rPr>
          <w:rFonts w:ascii="Palatino Linotype" w:eastAsia="Times New Roman" w:hAnsi="Palatino Linotype"/>
          <w:b/>
          <w:color w:val="000000"/>
          <w:sz w:val="18"/>
          <w:lang w:val="en-US" w:eastAsia="de-DE" w:bidi="en-US"/>
        </w:rPr>
        <w:t xml:space="preserve">Fig. </w:t>
      </w:r>
      <w:r w:rsidRPr="00473D7D">
        <w:rPr>
          <w:rFonts w:ascii="Palatino Linotype" w:eastAsia="Times New Roman" w:hAnsi="Palatino Linotype"/>
          <w:b/>
          <w:color w:val="000000"/>
          <w:sz w:val="18"/>
          <w:lang w:val="en-US" w:eastAsia="de-DE" w:bidi="en-US"/>
        </w:rPr>
        <w:fldChar w:fldCharType="begin"/>
      </w:r>
      <w:r w:rsidRPr="00473D7D">
        <w:rPr>
          <w:rFonts w:ascii="Palatino Linotype" w:eastAsia="Times New Roman" w:hAnsi="Palatino Linotype"/>
          <w:b/>
          <w:color w:val="000000"/>
          <w:sz w:val="18"/>
          <w:lang w:val="en-US" w:eastAsia="de-DE" w:bidi="en-US"/>
        </w:rPr>
        <w:instrText xml:space="preserve"> SEQ Fig. \* ARABIC </w:instrText>
      </w:r>
      <w:r w:rsidRPr="00473D7D">
        <w:rPr>
          <w:rFonts w:ascii="Palatino Linotype" w:eastAsia="Times New Roman" w:hAnsi="Palatino Linotype"/>
          <w:b/>
          <w:color w:val="000000"/>
          <w:sz w:val="18"/>
          <w:lang w:val="en-US" w:eastAsia="de-DE" w:bidi="en-US"/>
        </w:rPr>
        <w:fldChar w:fldCharType="separate"/>
      </w:r>
      <w:r w:rsidR="00822D91" w:rsidRPr="00473D7D">
        <w:rPr>
          <w:rFonts w:ascii="Palatino Linotype" w:eastAsia="Times New Roman" w:hAnsi="Palatino Linotype"/>
          <w:b/>
          <w:color w:val="000000"/>
          <w:sz w:val="18"/>
          <w:lang w:val="en-US" w:eastAsia="de-DE" w:bidi="en-US"/>
        </w:rPr>
        <w:t>1</w:t>
      </w:r>
      <w:r w:rsidRPr="00473D7D">
        <w:rPr>
          <w:rFonts w:ascii="Palatino Linotype" w:eastAsia="Times New Roman" w:hAnsi="Palatino Linotype"/>
          <w:b/>
          <w:color w:val="000000"/>
          <w:sz w:val="18"/>
          <w:lang w:val="en-US" w:eastAsia="de-DE" w:bidi="en-US"/>
        </w:rPr>
        <w:fldChar w:fldCharType="end"/>
      </w:r>
      <w:bookmarkEnd w:id="6"/>
      <w:r w:rsidRPr="00473D7D">
        <w:rPr>
          <w:rFonts w:ascii="Palatino Linotype" w:eastAsia="Times New Roman" w:hAnsi="Palatino Linotype"/>
          <w:color w:val="000000"/>
          <w:sz w:val="18"/>
          <w:lang w:val="en-US" w:eastAsia="de-DE" w:bidi="en-US"/>
        </w:rPr>
        <w:t>. Flowchart of the iterative process</w:t>
      </w:r>
    </w:p>
    <w:p w:rsidR="0075261E" w:rsidRPr="0075261E" w:rsidRDefault="0075261E" w:rsidP="00473D7D">
      <w:pPr>
        <w:pStyle w:val="Els-1storder-head"/>
        <w:numPr>
          <w:ilvl w:val="0"/>
          <w:numId w:val="12"/>
        </w:numPr>
        <w:rPr>
          <w:rFonts w:ascii="Palatino Linotype" w:hAnsi="Palatino Linotype"/>
        </w:rPr>
      </w:pPr>
      <w:r w:rsidRPr="0075261E">
        <w:rPr>
          <w:rFonts w:ascii="Palatino Linotype" w:hAnsi="Palatino Linotype"/>
        </w:rPr>
        <w:t>Case-study description</w:t>
      </w:r>
    </w:p>
    <w:p w:rsidR="00473D7D" w:rsidRDefault="0075261E" w:rsidP="004D2A1F">
      <w:pPr>
        <w:pStyle w:val="MDPI31text"/>
        <w:rPr>
          <w:b/>
        </w:rPr>
      </w:pPr>
      <w:r w:rsidRPr="0075261E">
        <w:t>In order to test the behavior of the slime-</w:t>
      </w:r>
      <w:r w:rsidR="004D2A1F">
        <w:t>mold</w:t>
      </w:r>
      <w:r w:rsidRPr="0075261E">
        <w:t xml:space="preserve"> inspired model, we performed several experiments to analyze the results and the test the optimality of the solution. The ABM is applied to a set of random problem instances following the statistical characteristics of the European power system </w:t>
      </w:r>
      <w:r w:rsidRPr="0075261E">
        <w:fldChar w:fldCharType="begin"/>
      </w:r>
      <w:r w:rsidRPr="0075261E">
        <w:instrText>ADDIN RW.CITE{{986 EWEA 2015}}</w:instrText>
      </w:r>
      <w:r w:rsidRPr="0075261E">
        <w:fldChar w:fldCharType="separate"/>
      </w:r>
      <w:r w:rsidR="009B1A7D">
        <w:t>[40]</w:t>
      </w:r>
      <w:r w:rsidRPr="0075261E">
        <w:fldChar w:fldCharType="end"/>
      </w:r>
      <w:r w:rsidRPr="0075261E">
        <w:t xml:space="preserve">. The model assumes standard costs and cable characteristics </w:t>
      </w:r>
      <w:r w:rsidRPr="0075261E">
        <w:fldChar w:fldCharType="begin"/>
      </w:r>
      <w:r w:rsidRPr="0075261E">
        <w:instrText>ADDIN RW.CITE{{892 Lumbreras, S. 2014}}</w:instrText>
      </w:r>
      <w:r w:rsidRPr="0075261E">
        <w:fldChar w:fldCharType="separate"/>
      </w:r>
      <w:r w:rsidR="009B1A7D">
        <w:t>[34]</w:t>
      </w:r>
      <w:r w:rsidRPr="0075261E">
        <w:fldChar w:fldCharType="end"/>
      </w:r>
      <w:r w:rsidRPr="0075261E">
        <w:t xml:space="preserve">. Each simulation run specifies the number of generation and demand nodes, which are located randomly across a square with a side equivalent to 3000 km. The model considers different types of generation: wind, solar, hydro, nuclear, coal, gas and fuel-oil. Their respective characteristics can be seen in </w:t>
      </w:r>
      <w:r w:rsidRPr="0075261E">
        <w:fldChar w:fldCharType="begin"/>
      </w:r>
      <w:r w:rsidRPr="0075261E">
        <w:instrText xml:space="preserve"> REF _Ref504843042 \h  \* MERGEFORMAT </w:instrText>
      </w:r>
      <w:r w:rsidRPr="0075261E">
        <w:fldChar w:fldCharType="separate"/>
      </w:r>
      <w:r w:rsidR="00822D91" w:rsidRPr="0075261E">
        <w:t xml:space="preserve">Table </w:t>
      </w:r>
      <w:r w:rsidR="00822D91">
        <w:t>1</w:t>
      </w:r>
      <w:r w:rsidRPr="0075261E">
        <w:fldChar w:fldCharType="end"/>
      </w:r>
      <w:r w:rsidRPr="0075261E">
        <w:t xml:space="preserve"> and are set according to the 2015 Spanish Energy Mix </w:t>
      </w:r>
      <w:r w:rsidRPr="0075261E">
        <w:fldChar w:fldCharType="begin"/>
      </w:r>
      <w:r w:rsidRPr="0075261E">
        <w:instrText>ADDIN RW.CITE{{1077 Lorscheid, Iris 2012}}</w:instrText>
      </w:r>
      <w:r w:rsidRPr="0075261E">
        <w:fldChar w:fldCharType="separate"/>
      </w:r>
      <w:r w:rsidR="009B1A7D">
        <w:t>[41]</w:t>
      </w:r>
      <w:r w:rsidRPr="0075261E">
        <w:fldChar w:fldCharType="end"/>
      </w:r>
      <w:r w:rsidRPr="0075261E">
        <w:t>.</w:t>
      </w:r>
    </w:p>
    <w:p w:rsidR="0075261E" w:rsidRPr="00E0272D" w:rsidRDefault="0075261E" w:rsidP="00E0272D">
      <w:pPr>
        <w:pStyle w:val="MDPI41tablecaption"/>
        <w:jc w:val="center"/>
        <w:rPr>
          <w:b/>
        </w:rPr>
      </w:pPr>
      <w:bookmarkStart w:id="7" w:name="_Ref504843042"/>
      <w:r w:rsidRPr="00E0272D">
        <w:rPr>
          <w:b/>
        </w:rPr>
        <w:t xml:space="preserve">Table </w:t>
      </w:r>
      <w:r w:rsidRPr="00E0272D">
        <w:rPr>
          <w:b/>
        </w:rPr>
        <w:fldChar w:fldCharType="begin"/>
      </w:r>
      <w:r w:rsidRPr="00E0272D">
        <w:rPr>
          <w:b/>
        </w:rPr>
        <w:instrText xml:space="preserve"> SEQ Table \* ARABIC </w:instrText>
      </w:r>
      <w:r w:rsidRPr="00E0272D">
        <w:rPr>
          <w:b/>
        </w:rPr>
        <w:fldChar w:fldCharType="separate"/>
      </w:r>
      <w:r w:rsidR="00822D91" w:rsidRPr="00E0272D">
        <w:rPr>
          <w:b/>
        </w:rPr>
        <w:t>1</w:t>
      </w:r>
      <w:r w:rsidRPr="00E0272D">
        <w:rPr>
          <w:b/>
        </w:rPr>
        <w:fldChar w:fldCharType="end"/>
      </w:r>
      <w:bookmarkEnd w:id="7"/>
      <w:r w:rsidRPr="00E0272D">
        <w:rPr>
          <w:b/>
        </w:rPr>
        <w:t xml:space="preserve">. </w:t>
      </w:r>
      <w:r w:rsidRPr="00E0272D">
        <w:t>Characteristics of generators</w:t>
      </w:r>
    </w:p>
    <w:tbl>
      <w:tblPr>
        <w:tblW w:w="5432" w:type="dxa"/>
        <w:jc w:val="center"/>
        <w:tblLayout w:type="fixed"/>
        <w:tblCellMar>
          <w:top w:w="10" w:type="dxa"/>
          <w:left w:w="10" w:type="dxa"/>
          <w:right w:w="10" w:type="dxa"/>
        </w:tblCellMar>
        <w:tblLook w:val="0000" w:firstRow="0" w:lastRow="0" w:firstColumn="0" w:lastColumn="0" w:noHBand="0" w:noVBand="0"/>
      </w:tblPr>
      <w:tblGrid>
        <w:gridCol w:w="1084"/>
        <w:gridCol w:w="990"/>
        <w:gridCol w:w="1080"/>
        <w:gridCol w:w="1080"/>
        <w:gridCol w:w="1198"/>
      </w:tblGrid>
      <w:tr w:rsidR="0075261E" w:rsidRPr="0075261E" w:rsidTr="0075261E">
        <w:trPr>
          <w:trHeight w:val="833"/>
          <w:jc w:val="center"/>
        </w:trPr>
        <w:tc>
          <w:tcPr>
            <w:tcW w:w="1084" w:type="dxa"/>
            <w:tcBorders>
              <w:top w:val="single" w:sz="4" w:space="0" w:color="auto"/>
              <w:bottom w:val="single" w:sz="4" w:space="0" w:color="auto"/>
            </w:tcBorders>
            <w:shd w:val="clear" w:color="auto" w:fill="FFFFFF"/>
            <w:vAlign w:val="bottom"/>
          </w:tcPr>
          <w:p w:rsidR="0075261E" w:rsidRPr="0075261E" w:rsidRDefault="0075261E" w:rsidP="0075261E">
            <w:pPr>
              <w:keepNext/>
              <w:keepLines/>
              <w:spacing w:before="240" w:after="80"/>
              <w:outlineLvl w:val="0"/>
              <w:rPr>
                <w:rFonts w:ascii="Palatino Linotype" w:hAnsi="Palatino Linotype"/>
                <w:noProof/>
                <w:sz w:val="18"/>
              </w:rPr>
            </w:pPr>
            <w:r w:rsidRPr="0075261E">
              <w:rPr>
                <w:rFonts w:ascii="Palatino Linotype" w:hAnsi="Palatino Linotype"/>
                <w:noProof/>
                <w:sz w:val="18"/>
              </w:rPr>
              <w:t>Technology</w:t>
            </w:r>
          </w:p>
        </w:tc>
        <w:tc>
          <w:tcPr>
            <w:tcW w:w="990" w:type="dxa"/>
            <w:tcBorders>
              <w:top w:val="single" w:sz="4" w:space="0" w:color="auto"/>
              <w:bottom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Relative Penetration (%)</w:t>
            </w:r>
          </w:p>
        </w:tc>
        <w:tc>
          <w:tcPr>
            <w:tcW w:w="1080" w:type="dxa"/>
            <w:tcBorders>
              <w:top w:val="single" w:sz="4" w:space="0" w:color="auto"/>
              <w:bottom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Capacity lower bound</w:t>
            </w:r>
          </w:p>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(MW)</w:t>
            </w:r>
          </w:p>
        </w:tc>
        <w:tc>
          <w:tcPr>
            <w:tcW w:w="1080" w:type="dxa"/>
            <w:tcBorders>
              <w:top w:val="single" w:sz="4" w:space="0" w:color="auto"/>
              <w:bottom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Capacity upper bound</w:t>
            </w:r>
          </w:p>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(MW)</w:t>
            </w:r>
          </w:p>
        </w:tc>
        <w:tc>
          <w:tcPr>
            <w:tcW w:w="1198" w:type="dxa"/>
            <w:tcBorders>
              <w:top w:val="single" w:sz="4" w:space="0" w:color="auto"/>
              <w:bottom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Marginal cost (€/MWh)</w:t>
            </w:r>
          </w:p>
        </w:tc>
      </w:tr>
      <w:tr w:rsidR="0075261E" w:rsidRPr="0075261E" w:rsidTr="0075261E">
        <w:trPr>
          <w:trHeight w:val="300"/>
          <w:jc w:val="center"/>
        </w:trPr>
        <w:tc>
          <w:tcPr>
            <w:tcW w:w="1084" w:type="dxa"/>
            <w:tcBorders>
              <w:top w:val="single" w:sz="4" w:space="0" w:color="auto"/>
            </w:tcBorders>
            <w:shd w:val="clear" w:color="auto" w:fill="FFFFFF"/>
            <w:vAlign w:val="bottom"/>
          </w:tcPr>
          <w:p w:rsidR="0075261E" w:rsidRPr="0075261E" w:rsidRDefault="0075261E" w:rsidP="0075261E">
            <w:pPr>
              <w:keepNext/>
              <w:keepLines/>
              <w:rPr>
                <w:rFonts w:ascii="Palatino Linotype" w:hAnsi="Palatino Linotype"/>
                <w:noProof/>
                <w:sz w:val="18"/>
              </w:rPr>
            </w:pPr>
            <w:r w:rsidRPr="0075261E">
              <w:rPr>
                <w:rFonts w:ascii="Palatino Linotype" w:hAnsi="Palatino Linotype"/>
                <w:noProof/>
                <w:sz w:val="18"/>
              </w:rPr>
              <w:t>Wind</w:t>
            </w:r>
          </w:p>
        </w:tc>
        <w:tc>
          <w:tcPr>
            <w:tcW w:w="990" w:type="dxa"/>
            <w:tcBorders>
              <w:top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19.1%</w:t>
            </w:r>
          </w:p>
        </w:tc>
        <w:tc>
          <w:tcPr>
            <w:tcW w:w="1080" w:type="dxa"/>
            <w:tcBorders>
              <w:top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w:t>
            </w:r>
          </w:p>
        </w:tc>
        <w:tc>
          <w:tcPr>
            <w:tcW w:w="1080" w:type="dxa"/>
            <w:tcBorders>
              <w:top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500</w:t>
            </w:r>
          </w:p>
        </w:tc>
        <w:tc>
          <w:tcPr>
            <w:tcW w:w="1198" w:type="dxa"/>
            <w:tcBorders>
              <w:top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w:t>
            </w:r>
          </w:p>
        </w:tc>
      </w:tr>
      <w:tr w:rsidR="0075261E" w:rsidRPr="0075261E" w:rsidTr="0075261E">
        <w:trPr>
          <w:trHeight w:val="300"/>
          <w:jc w:val="center"/>
        </w:trPr>
        <w:tc>
          <w:tcPr>
            <w:tcW w:w="1084" w:type="dxa"/>
            <w:shd w:val="clear" w:color="auto" w:fill="FFFFFF"/>
            <w:vAlign w:val="bottom"/>
          </w:tcPr>
          <w:p w:rsidR="0075261E" w:rsidRPr="0075261E" w:rsidRDefault="0075261E" w:rsidP="0075261E">
            <w:pPr>
              <w:keepNext/>
              <w:keepLines/>
              <w:rPr>
                <w:rFonts w:ascii="Palatino Linotype" w:hAnsi="Palatino Linotype"/>
                <w:noProof/>
                <w:sz w:val="18"/>
              </w:rPr>
            </w:pPr>
            <w:r w:rsidRPr="0075261E">
              <w:rPr>
                <w:rFonts w:ascii="Palatino Linotype" w:hAnsi="Palatino Linotype"/>
                <w:noProof/>
                <w:sz w:val="18"/>
              </w:rPr>
              <w:t>Sun</w:t>
            </w:r>
          </w:p>
        </w:tc>
        <w:tc>
          <w:tcPr>
            <w:tcW w:w="99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5.2%</w:t>
            </w:r>
          </w:p>
        </w:tc>
        <w:tc>
          <w:tcPr>
            <w:tcW w:w="10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w:t>
            </w:r>
          </w:p>
        </w:tc>
        <w:tc>
          <w:tcPr>
            <w:tcW w:w="10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500</w:t>
            </w:r>
          </w:p>
        </w:tc>
        <w:tc>
          <w:tcPr>
            <w:tcW w:w="1198"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3.0</w:t>
            </w:r>
          </w:p>
        </w:tc>
      </w:tr>
      <w:tr w:rsidR="0075261E" w:rsidRPr="0075261E" w:rsidTr="0075261E">
        <w:trPr>
          <w:trHeight w:val="300"/>
          <w:jc w:val="center"/>
        </w:trPr>
        <w:tc>
          <w:tcPr>
            <w:tcW w:w="1084" w:type="dxa"/>
            <w:shd w:val="clear" w:color="auto" w:fill="FFFFFF"/>
            <w:vAlign w:val="bottom"/>
          </w:tcPr>
          <w:p w:rsidR="0075261E" w:rsidRPr="0075261E" w:rsidRDefault="0075261E" w:rsidP="0075261E">
            <w:pPr>
              <w:keepNext/>
              <w:keepLines/>
              <w:rPr>
                <w:rFonts w:ascii="Palatino Linotype" w:hAnsi="Palatino Linotype"/>
                <w:noProof/>
                <w:sz w:val="18"/>
              </w:rPr>
            </w:pPr>
            <w:r w:rsidRPr="0075261E">
              <w:rPr>
                <w:rFonts w:ascii="Palatino Linotype" w:hAnsi="Palatino Linotype"/>
                <w:noProof/>
                <w:sz w:val="18"/>
              </w:rPr>
              <w:t>Hydro</w:t>
            </w:r>
          </w:p>
        </w:tc>
        <w:tc>
          <w:tcPr>
            <w:tcW w:w="99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11.1%</w:t>
            </w:r>
          </w:p>
        </w:tc>
        <w:tc>
          <w:tcPr>
            <w:tcW w:w="10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w:t>
            </w:r>
          </w:p>
        </w:tc>
        <w:tc>
          <w:tcPr>
            <w:tcW w:w="10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500</w:t>
            </w:r>
          </w:p>
        </w:tc>
        <w:tc>
          <w:tcPr>
            <w:tcW w:w="1198"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3.0</w:t>
            </w:r>
          </w:p>
        </w:tc>
      </w:tr>
      <w:tr w:rsidR="0075261E" w:rsidRPr="0075261E" w:rsidTr="0075261E">
        <w:trPr>
          <w:trHeight w:val="300"/>
          <w:jc w:val="center"/>
        </w:trPr>
        <w:tc>
          <w:tcPr>
            <w:tcW w:w="1084" w:type="dxa"/>
            <w:shd w:val="clear" w:color="auto" w:fill="FFFFFF"/>
            <w:vAlign w:val="bottom"/>
          </w:tcPr>
          <w:p w:rsidR="0075261E" w:rsidRPr="0075261E" w:rsidRDefault="0075261E" w:rsidP="0075261E">
            <w:pPr>
              <w:keepNext/>
              <w:keepLines/>
              <w:rPr>
                <w:rFonts w:ascii="Palatino Linotype" w:hAnsi="Palatino Linotype"/>
                <w:noProof/>
                <w:sz w:val="18"/>
              </w:rPr>
            </w:pPr>
            <w:r w:rsidRPr="0075261E">
              <w:rPr>
                <w:rFonts w:ascii="Palatino Linotype" w:hAnsi="Palatino Linotype"/>
                <w:noProof/>
                <w:sz w:val="18"/>
              </w:rPr>
              <w:t>Nuclear</w:t>
            </w:r>
          </w:p>
        </w:tc>
        <w:tc>
          <w:tcPr>
            <w:tcW w:w="99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21.7%</w:t>
            </w:r>
          </w:p>
        </w:tc>
        <w:tc>
          <w:tcPr>
            <w:tcW w:w="10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1000</w:t>
            </w:r>
          </w:p>
        </w:tc>
        <w:tc>
          <w:tcPr>
            <w:tcW w:w="10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1500</w:t>
            </w:r>
          </w:p>
        </w:tc>
        <w:tc>
          <w:tcPr>
            <w:tcW w:w="1198"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18.0</w:t>
            </w:r>
          </w:p>
        </w:tc>
      </w:tr>
      <w:tr w:rsidR="0075261E" w:rsidRPr="0075261E" w:rsidTr="0075261E">
        <w:trPr>
          <w:trHeight w:val="300"/>
          <w:jc w:val="center"/>
        </w:trPr>
        <w:tc>
          <w:tcPr>
            <w:tcW w:w="1084" w:type="dxa"/>
            <w:shd w:val="clear" w:color="auto" w:fill="FFFFFF"/>
            <w:vAlign w:val="bottom"/>
          </w:tcPr>
          <w:p w:rsidR="0075261E" w:rsidRPr="0075261E" w:rsidRDefault="0075261E" w:rsidP="0075261E">
            <w:pPr>
              <w:keepNext/>
              <w:keepLines/>
              <w:rPr>
                <w:rFonts w:ascii="Palatino Linotype" w:hAnsi="Palatino Linotype"/>
                <w:noProof/>
                <w:sz w:val="18"/>
              </w:rPr>
            </w:pPr>
            <w:r w:rsidRPr="0075261E">
              <w:rPr>
                <w:rFonts w:ascii="Palatino Linotype" w:hAnsi="Palatino Linotype"/>
                <w:noProof/>
                <w:sz w:val="18"/>
              </w:rPr>
              <w:t>Coal</w:t>
            </w:r>
          </w:p>
        </w:tc>
        <w:tc>
          <w:tcPr>
            <w:tcW w:w="99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20.3%</w:t>
            </w:r>
          </w:p>
        </w:tc>
        <w:tc>
          <w:tcPr>
            <w:tcW w:w="10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500</w:t>
            </w:r>
          </w:p>
        </w:tc>
        <w:tc>
          <w:tcPr>
            <w:tcW w:w="10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100</w:t>
            </w:r>
          </w:p>
        </w:tc>
        <w:tc>
          <w:tcPr>
            <w:tcW w:w="1198"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58.6</w:t>
            </w:r>
          </w:p>
        </w:tc>
      </w:tr>
      <w:tr w:rsidR="0075261E" w:rsidRPr="0075261E" w:rsidTr="0075261E">
        <w:trPr>
          <w:trHeight w:val="300"/>
          <w:jc w:val="center"/>
        </w:trPr>
        <w:tc>
          <w:tcPr>
            <w:tcW w:w="1084" w:type="dxa"/>
            <w:shd w:val="clear" w:color="auto" w:fill="FFFFFF"/>
            <w:vAlign w:val="bottom"/>
          </w:tcPr>
          <w:p w:rsidR="0075261E" w:rsidRPr="0075261E" w:rsidRDefault="0075261E" w:rsidP="0075261E">
            <w:pPr>
              <w:keepNext/>
              <w:keepLines/>
              <w:rPr>
                <w:rFonts w:ascii="Palatino Linotype" w:hAnsi="Palatino Linotype"/>
                <w:noProof/>
                <w:sz w:val="18"/>
              </w:rPr>
            </w:pPr>
            <w:r w:rsidRPr="0075261E">
              <w:rPr>
                <w:rFonts w:ascii="Palatino Linotype" w:hAnsi="Palatino Linotype"/>
                <w:noProof/>
                <w:sz w:val="18"/>
              </w:rPr>
              <w:t>CCGT</w:t>
            </w:r>
          </w:p>
        </w:tc>
        <w:tc>
          <w:tcPr>
            <w:tcW w:w="99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10.6%</w:t>
            </w:r>
          </w:p>
        </w:tc>
        <w:tc>
          <w:tcPr>
            <w:tcW w:w="10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100</w:t>
            </w:r>
          </w:p>
        </w:tc>
        <w:tc>
          <w:tcPr>
            <w:tcW w:w="10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500</w:t>
            </w:r>
          </w:p>
        </w:tc>
        <w:tc>
          <w:tcPr>
            <w:tcW w:w="1198"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56.9</w:t>
            </w:r>
          </w:p>
        </w:tc>
      </w:tr>
      <w:tr w:rsidR="0075261E" w:rsidRPr="0075261E" w:rsidTr="0075261E">
        <w:trPr>
          <w:trHeight w:val="315"/>
          <w:jc w:val="center"/>
        </w:trPr>
        <w:tc>
          <w:tcPr>
            <w:tcW w:w="1084" w:type="dxa"/>
            <w:tcBorders>
              <w:bottom w:val="single" w:sz="4" w:space="0" w:color="auto"/>
            </w:tcBorders>
            <w:shd w:val="clear" w:color="auto" w:fill="FFFFFF"/>
            <w:vAlign w:val="bottom"/>
          </w:tcPr>
          <w:p w:rsidR="0075261E" w:rsidRPr="0075261E" w:rsidRDefault="0075261E" w:rsidP="0075261E">
            <w:pPr>
              <w:keepNext/>
              <w:keepLines/>
              <w:rPr>
                <w:rFonts w:ascii="Palatino Linotype" w:hAnsi="Palatino Linotype"/>
                <w:noProof/>
                <w:sz w:val="18"/>
              </w:rPr>
            </w:pPr>
            <w:r w:rsidRPr="0075261E">
              <w:rPr>
                <w:rFonts w:ascii="Palatino Linotype" w:hAnsi="Palatino Linotype"/>
                <w:noProof/>
                <w:sz w:val="18"/>
              </w:rPr>
              <w:t>OCGT</w:t>
            </w:r>
          </w:p>
        </w:tc>
        <w:tc>
          <w:tcPr>
            <w:tcW w:w="990" w:type="dxa"/>
            <w:tcBorders>
              <w:bottom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12.0%</w:t>
            </w:r>
          </w:p>
        </w:tc>
        <w:tc>
          <w:tcPr>
            <w:tcW w:w="1080" w:type="dxa"/>
            <w:tcBorders>
              <w:bottom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100</w:t>
            </w:r>
          </w:p>
        </w:tc>
        <w:tc>
          <w:tcPr>
            <w:tcW w:w="1080" w:type="dxa"/>
            <w:tcBorders>
              <w:bottom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500</w:t>
            </w:r>
          </w:p>
        </w:tc>
        <w:tc>
          <w:tcPr>
            <w:tcW w:w="1198" w:type="dxa"/>
            <w:tcBorders>
              <w:bottom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100.0</w:t>
            </w:r>
          </w:p>
        </w:tc>
      </w:tr>
    </w:tbl>
    <w:p w:rsidR="0075261E" w:rsidRPr="0075261E" w:rsidRDefault="0075261E" w:rsidP="0075261E">
      <w:pPr>
        <w:spacing w:line="360" w:lineRule="auto"/>
        <w:rPr>
          <w:rFonts w:ascii="Palatino Linotype" w:hAnsi="Palatino Linotype"/>
        </w:rPr>
      </w:pPr>
    </w:p>
    <w:p w:rsidR="0075261E" w:rsidRDefault="0075261E" w:rsidP="00E0272D">
      <w:pPr>
        <w:pStyle w:val="MDPI31text"/>
      </w:pPr>
      <w:r w:rsidRPr="0075261E">
        <w:lastRenderedPageBreak/>
        <w:t>Demand is exponentially distributed with an average value of 66 MW for each node. The penalty for Non-Supplied Energy (Power Not Served, PNS, which represents unmet demand) is 1000  €/MWh. The agents can install transmission lines in full (at 100% of capacity), at a fraction of their capacity (less than 100%) or assuming several transmission lines can be installed in parallel (more than 100%). The cable characteristics considered can be seen in the table below:</w:t>
      </w:r>
    </w:p>
    <w:p w:rsidR="0075261E" w:rsidRPr="0075261E" w:rsidRDefault="0075261E" w:rsidP="00E0272D">
      <w:pPr>
        <w:pStyle w:val="MDPI41tablecaption"/>
        <w:jc w:val="center"/>
      </w:pPr>
      <w:r w:rsidRPr="00E0272D">
        <w:rPr>
          <w:b/>
        </w:rPr>
        <w:t xml:space="preserve">Table </w:t>
      </w:r>
      <w:r w:rsidRPr="00E0272D">
        <w:rPr>
          <w:b/>
        </w:rPr>
        <w:fldChar w:fldCharType="begin"/>
      </w:r>
      <w:r w:rsidRPr="00E0272D">
        <w:rPr>
          <w:b/>
        </w:rPr>
        <w:instrText xml:space="preserve"> SEQ Table \* ARABIC </w:instrText>
      </w:r>
      <w:r w:rsidRPr="00E0272D">
        <w:rPr>
          <w:b/>
        </w:rPr>
        <w:fldChar w:fldCharType="separate"/>
      </w:r>
      <w:r w:rsidR="00822D91" w:rsidRPr="00E0272D">
        <w:rPr>
          <w:b/>
        </w:rPr>
        <w:t>2</w:t>
      </w:r>
      <w:r w:rsidRPr="00E0272D">
        <w:rPr>
          <w:b/>
        </w:rPr>
        <w:fldChar w:fldCharType="end"/>
      </w:r>
      <w:r w:rsidRPr="0075261E">
        <w:t>. Characteristics of transmission lines/cables</w:t>
      </w:r>
    </w:p>
    <w:tbl>
      <w:tblPr>
        <w:tblW w:w="4363" w:type="dxa"/>
        <w:jc w:val="center"/>
        <w:tblLayout w:type="fixed"/>
        <w:tblCellMar>
          <w:top w:w="10" w:type="dxa"/>
          <w:left w:w="10" w:type="dxa"/>
          <w:right w:w="10" w:type="dxa"/>
        </w:tblCellMar>
        <w:tblLook w:val="0000" w:firstRow="0" w:lastRow="0" w:firstColumn="0" w:lastColumn="0" w:noHBand="0" w:noVBand="0"/>
      </w:tblPr>
      <w:tblGrid>
        <w:gridCol w:w="2583"/>
        <w:gridCol w:w="1780"/>
      </w:tblGrid>
      <w:tr w:rsidR="00E0272D" w:rsidRPr="0075261E" w:rsidTr="0075261E">
        <w:trPr>
          <w:trHeight w:val="300"/>
          <w:jc w:val="center"/>
        </w:trPr>
        <w:tc>
          <w:tcPr>
            <w:tcW w:w="2583" w:type="dxa"/>
            <w:tcBorders>
              <w:top w:val="single" w:sz="4" w:space="0" w:color="auto"/>
            </w:tcBorders>
            <w:shd w:val="clear" w:color="auto" w:fill="FFFFFF"/>
            <w:vAlign w:val="bottom"/>
          </w:tcPr>
          <w:p w:rsidR="00E0272D" w:rsidRPr="00E0272D" w:rsidRDefault="00E0272D" w:rsidP="0075261E">
            <w:pPr>
              <w:keepNext/>
              <w:keepLines/>
              <w:rPr>
                <w:rFonts w:ascii="Palatino Linotype" w:hAnsi="Palatino Linotype"/>
                <w:b/>
                <w:noProof/>
                <w:sz w:val="18"/>
              </w:rPr>
            </w:pPr>
            <w:r w:rsidRPr="00E0272D">
              <w:rPr>
                <w:rFonts w:ascii="Palatino Linotype" w:hAnsi="Palatino Linotype"/>
                <w:b/>
                <w:noProof/>
                <w:sz w:val="18"/>
              </w:rPr>
              <w:t>Basic Cable Characteristics</w:t>
            </w:r>
          </w:p>
        </w:tc>
        <w:tc>
          <w:tcPr>
            <w:tcW w:w="1780" w:type="dxa"/>
            <w:tcBorders>
              <w:top w:val="single" w:sz="4" w:space="0" w:color="auto"/>
            </w:tcBorders>
            <w:shd w:val="clear" w:color="auto" w:fill="FFFFFF"/>
            <w:vAlign w:val="bottom"/>
          </w:tcPr>
          <w:p w:rsidR="00E0272D" w:rsidRPr="0075261E" w:rsidRDefault="00E0272D" w:rsidP="0075261E">
            <w:pPr>
              <w:keepNext/>
              <w:keepLines/>
              <w:jc w:val="right"/>
              <w:rPr>
                <w:rFonts w:ascii="Palatino Linotype" w:hAnsi="Palatino Linotype"/>
                <w:noProof/>
                <w:sz w:val="18"/>
              </w:rPr>
            </w:pPr>
          </w:p>
        </w:tc>
      </w:tr>
      <w:tr w:rsidR="0075261E" w:rsidRPr="0075261E" w:rsidTr="0075261E">
        <w:trPr>
          <w:trHeight w:val="300"/>
          <w:jc w:val="center"/>
        </w:trPr>
        <w:tc>
          <w:tcPr>
            <w:tcW w:w="2583" w:type="dxa"/>
            <w:tcBorders>
              <w:top w:val="single" w:sz="4" w:space="0" w:color="auto"/>
            </w:tcBorders>
            <w:shd w:val="clear" w:color="auto" w:fill="FFFFFF"/>
            <w:vAlign w:val="bottom"/>
          </w:tcPr>
          <w:p w:rsidR="0075261E" w:rsidRPr="0075261E" w:rsidRDefault="0075261E" w:rsidP="0075261E">
            <w:pPr>
              <w:keepNext/>
              <w:keepLines/>
              <w:rPr>
                <w:rFonts w:ascii="Palatino Linotype" w:hAnsi="Palatino Linotype"/>
                <w:noProof/>
                <w:sz w:val="18"/>
              </w:rPr>
            </w:pPr>
            <w:r w:rsidRPr="0075261E">
              <w:rPr>
                <w:rFonts w:ascii="Palatino Linotype" w:hAnsi="Palatino Linotype"/>
                <w:noProof/>
                <w:sz w:val="18"/>
              </w:rPr>
              <w:t>Cable investment cost (€/km)</w:t>
            </w:r>
          </w:p>
        </w:tc>
        <w:tc>
          <w:tcPr>
            <w:tcW w:w="1780" w:type="dxa"/>
            <w:tcBorders>
              <w:top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50,000</w:t>
            </w:r>
          </w:p>
        </w:tc>
      </w:tr>
      <w:tr w:rsidR="0075261E" w:rsidRPr="0075261E" w:rsidTr="0075261E">
        <w:trPr>
          <w:trHeight w:val="300"/>
          <w:jc w:val="center"/>
        </w:trPr>
        <w:tc>
          <w:tcPr>
            <w:tcW w:w="2583" w:type="dxa"/>
            <w:shd w:val="clear" w:color="auto" w:fill="FFFFFF"/>
            <w:vAlign w:val="bottom"/>
          </w:tcPr>
          <w:p w:rsidR="0075261E" w:rsidRPr="0075261E" w:rsidRDefault="0075261E" w:rsidP="0075261E">
            <w:pPr>
              <w:keepNext/>
              <w:keepLines/>
              <w:rPr>
                <w:rFonts w:ascii="Palatino Linotype" w:hAnsi="Palatino Linotype"/>
                <w:noProof/>
                <w:sz w:val="18"/>
              </w:rPr>
            </w:pPr>
            <w:r w:rsidRPr="0075261E">
              <w:rPr>
                <w:rFonts w:ascii="Palatino Linotype" w:hAnsi="Palatino Linotype"/>
                <w:noProof/>
                <w:sz w:val="18"/>
              </w:rPr>
              <w:t>Initial cable capacity (MW)</w:t>
            </w:r>
          </w:p>
        </w:tc>
        <w:tc>
          <w:tcPr>
            <w:tcW w:w="1780" w:type="dxa"/>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1,000</w:t>
            </w:r>
          </w:p>
        </w:tc>
      </w:tr>
      <w:tr w:rsidR="0075261E" w:rsidRPr="0075261E" w:rsidTr="0075261E">
        <w:trPr>
          <w:trHeight w:val="300"/>
          <w:jc w:val="center"/>
        </w:trPr>
        <w:tc>
          <w:tcPr>
            <w:tcW w:w="2583" w:type="dxa"/>
            <w:tcBorders>
              <w:bottom w:val="single" w:sz="4" w:space="0" w:color="auto"/>
            </w:tcBorders>
            <w:shd w:val="clear" w:color="auto" w:fill="FFFFFF"/>
            <w:vAlign w:val="bottom"/>
          </w:tcPr>
          <w:p w:rsidR="0075261E" w:rsidRPr="0075261E" w:rsidRDefault="0075261E" w:rsidP="0075261E">
            <w:pPr>
              <w:keepNext/>
              <w:keepLines/>
              <w:rPr>
                <w:rFonts w:ascii="Palatino Linotype" w:hAnsi="Palatino Linotype"/>
                <w:noProof/>
                <w:sz w:val="18"/>
              </w:rPr>
            </w:pPr>
            <w:r w:rsidRPr="0075261E">
              <w:rPr>
                <w:rFonts w:ascii="Palatino Linotype" w:hAnsi="Palatino Linotype"/>
                <w:noProof/>
                <w:sz w:val="18"/>
              </w:rPr>
              <w:t>Reactance (ohm pu/km)</w:t>
            </w:r>
          </w:p>
        </w:tc>
        <w:tc>
          <w:tcPr>
            <w:tcW w:w="1780" w:type="dxa"/>
            <w:tcBorders>
              <w:bottom w:val="single" w:sz="4" w:space="0" w:color="auto"/>
            </w:tcBorders>
            <w:shd w:val="clear" w:color="auto" w:fill="FFFFFF"/>
            <w:vAlign w:val="bottom"/>
          </w:tcPr>
          <w:p w:rsidR="0075261E" w:rsidRPr="0075261E" w:rsidRDefault="0075261E" w:rsidP="0075261E">
            <w:pPr>
              <w:keepNext/>
              <w:keepLines/>
              <w:jc w:val="right"/>
              <w:rPr>
                <w:rFonts w:ascii="Palatino Linotype" w:hAnsi="Palatino Linotype"/>
                <w:noProof/>
                <w:sz w:val="18"/>
              </w:rPr>
            </w:pPr>
            <w:r w:rsidRPr="0075261E">
              <w:rPr>
                <w:rFonts w:ascii="Palatino Linotype" w:hAnsi="Palatino Linotype"/>
                <w:noProof/>
                <w:sz w:val="18"/>
              </w:rPr>
              <w:t>0.008</w:t>
            </w:r>
          </w:p>
        </w:tc>
      </w:tr>
    </w:tbl>
    <w:bookmarkEnd w:id="1"/>
    <w:bookmarkEnd w:id="2"/>
    <w:p w:rsidR="0075261E" w:rsidRDefault="0075261E" w:rsidP="00473D7D">
      <w:pPr>
        <w:pStyle w:val="MDPI21heading1"/>
        <w:numPr>
          <w:ilvl w:val="0"/>
          <w:numId w:val="12"/>
        </w:numPr>
        <w:ind w:left="0" w:firstLine="0"/>
      </w:pPr>
      <w:r w:rsidRPr="005B5926">
        <w:t>Results</w:t>
      </w:r>
      <w:r w:rsidR="000A3954">
        <w:t xml:space="preserve"> and discussion</w:t>
      </w:r>
      <w:r>
        <w:t xml:space="preserve"> </w:t>
      </w:r>
    </w:p>
    <w:p w:rsidR="0075261E" w:rsidRPr="005B5926" w:rsidRDefault="0075261E" w:rsidP="00E0272D">
      <w:pPr>
        <w:pStyle w:val="MDPI31text"/>
      </w:pPr>
      <w:r w:rsidRPr="005B5926">
        <w:t xml:space="preserve">In this section we present the results of our method and analyze them in detail. We start out by comparing the newly developed </w:t>
      </w:r>
      <w:r w:rsidR="004D2A1F">
        <w:t>mold</w:t>
      </w:r>
      <w:r w:rsidRPr="005B5926">
        <w:t>-inspired ABM to classical optimization methods applied to the transmission expansion planning problem. Finally, we carry out a sensitivity analysis that explores the most relevant features of the model and how they are linked to the realistic conditions of the problem.</w:t>
      </w:r>
    </w:p>
    <w:p w:rsidR="0075261E" w:rsidRPr="005B5926" w:rsidRDefault="0075261E" w:rsidP="00473D7D">
      <w:pPr>
        <w:pStyle w:val="MDPI22heading2"/>
        <w:numPr>
          <w:ilvl w:val="1"/>
          <w:numId w:val="12"/>
        </w:numPr>
        <w:ind w:left="0" w:firstLine="0"/>
      </w:pPr>
      <w:bookmarkStart w:id="8" w:name="_Ref504915243"/>
      <w:r w:rsidRPr="005B5926">
        <w:t xml:space="preserve">Comparing the performance of </w:t>
      </w:r>
      <w:r w:rsidR="004D2A1F">
        <w:t>mold</w:t>
      </w:r>
      <w:r w:rsidRPr="005B5926">
        <w:t>-inspired ABM to classical optimization methods</w:t>
      </w:r>
      <w:bookmarkEnd w:id="8"/>
    </w:p>
    <w:p w:rsidR="0075261E" w:rsidRPr="005B5926" w:rsidRDefault="0075261E" w:rsidP="00E0272D">
      <w:pPr>
        <w:pStyle w:val="MDPI31text"/>
      </w:pPr>
      <w:r w:rsidRPr="005B5926">
        <w:t>In this section we analyze the results of four separate simulations of Net Logo, which correspond to four samples of the random input data (node location and demand or capacity). The four simulations were obtained using our base case of the Spanish energy mix and the data described in the previous section.</w:t>
      </w:r>
    </w:p>
    <w:p w:rsidR="0075261E" w:rsidRDefault="0075261E" w:rsidP="00E0272D">
      <w:pPr>
        <w:pStyle w:val="MDPI31text"/>
      </w:pPr>
      <w:r w:rsidRPr="005B5926">
        <w:t xml:space="preserve">We assess the quality of the results obtained with the </w:t>
      </w:r>
      <w:r w:rsidR="004D2A1F">
        <w:t>mold</w:t>
      </w:r>
      <w:r w:rsidRPr="005B5926">
        <w:t xml:space="preserve">-inspired ABM by comparing it to an objective benchmark calculated by standard optimization techniques. It should be noted that standard optimization can only be applied in relatively small case studies. As explained above, the main advantage of </w:t>
      </w:r>
      <w:r>
        <w:t xml:space="preserve">our ABM is that </w:t>
      </w:r>
      <w:r w:rsidRPr="005B5926">
        <w:t>calculations are lighter and can be applied to problems of much larger sizes.</w:t>
      </w:r>
    </w:p>
    <w:p w:rsidR="0075261E" w:rsidRDefault="0075261E" w:rsidP="00E0272D">
      <w:pPr>
        <w:pStyle w:val="MDPI31text"/>
      </w:pPr>
      <w:r>
        <w:fldChar w:fldCharType="begin"/>
      </w:r>
      <w:r>
        <w:instrText xml:space="preserve"> REF _Ref504916521 \h  \* MERGEFORMAT </w:instrText>
      </w:r>
      <w:r>
        <w:fldChar w:fldCharType="separate"/>
      </w:r>
      <w:r w:rsidR="00822D91" w:rsidRPr="001970B2">
        <w:t xml:space="preserve">Table </w:t>
      </w:r>
      <w:r w:rsidR="00822D91">
        <w:t>3</w:t>
      </w:r>
      <w:r>
        <w:fldChar w:fldCharType="end"/>
      </w:r>
      <w:r w:rsidRPr="00CB186F">
        <w:t xml:space="preserve"> contains the main cost results expressed in € of the four simulations, and compares the obtained: operating costs, investm</w:t>
      </w:r>
      <w:r w:rsidRPr="005B5926">
        <w:t>ent costs, and total costs. When calculating total costs we take into account the depreciation of the power system’s infrastructure and an annual discount rate. We use a 10% discount rate</w:t>
      </w:r>
      <w:r>
        <w:t xml:space="preserve"> (i)</w:t>
      </w:r>
      <w:r w:rsidRPr="005B5926">
        <w:t xml:space="preserve"> for a 40-year depreciation</w:t>
      </w:r>
      <w:r>
        <w:t xml:space="preserve"> (n)</w:t>
      </w:r>
      <w:r w:rsidRPr="005B5926">
        <w:t>, which translates into a factor of 0.10226 that is multiplied to the investment cost</w:t>
      </w:r>
      <w:r>
        <w:t>. This factor results from the application of a French (constant) amortization schedule:</w:t>
      </w:r>
    </w:p>
    <w:tbl>
      <w:tblPr>
        <w:tblW w:w="5000" w:type="pct"/>
        <w:jc w:val="center"/>
        <w:tblCellMar>
          <w:left w:w="0" w:type="dxa"/>
          <w:right w:w="0" w:type="dxa"/>
        </w:tblCellMar>
        <w:tblLook w:val="04A0" w:firstRow="1" w:lastRow="0" w:firstColumn="1" w:lastColumn="0" w:noHBand="0" w:noVBand="1"/>
      </w:tblPr>
      <w:tblGrid>
        <w:gridCol w:w="8409"/>
        <w:gridCol w:w="435"/>
      </w:tblGrid>
      <w:tr w:rsidR="00E0272D" w:rsidRPr="00997F64" w:rsidTr="00C97B8F">
        <w:trPr>
          <w:jc w:val="center"/>
        </w:trPr>
        <w:tc>
          <w:tcPr>
            <w:tcW w:w="4754" w:type="pct"/>
            <w:shd w:val="clear" w:color="auto" w:fill="auto"/>
          </w:tcPr>
          <w:p w:rsidR="00E0272D" w:rsidRPr="00997F64" w:rsidRDefault="00E0272D" w:rsidP="00E0272D">
            <w:pPr>
              <w:pStyle w:val="MDPI39equation"/>
            </w:pPr>
            <m:oMathPara>
              <m:oMath>
                <m:r>
                  <m:rPr>
                    <m:sty m:val="p"/>
                  </m:rPr>
                  <w:rPr>
                    <w:rFonts w:ascii="Cambria Math" w:hAnsi="Cambria Math"/>
                  </w:rPr>
                  <m:t>TotC=</m:t>
                </m:r>
                <m:d>
                  <m:dPr>
                    <m:ctrlPr>
                      <w:rPr>
                        <w:rFonts w:ascii="Cambria Math" w:hAnsi="Cambria Math"/>
                      </w:rPr>
                    </m:ctrlPr>
                  </m:dPr>
                  <m:e>
                    <m:r>
                      <m:rPr>
                        <m:sty m:val="p"/>
                      </m:rPr>
                      <w:rPr>
                        <w:rFonts w:ascii="Cambria Math" w:hAnsi="Cambria Math"/>
                      </w:rPr>
                      <m:t>f·InvC</m:t>
                    </m:r>
                  </m:e>
                </m:d>
                <m:r>
                  <m:rPr>
                    <m:sty m:val="p"/>
                  </m:rPr>
                  <w:rPr>
                    <w:rFonts w:ascii="Cambria Math" w:hAnsi="Cambria Math"/>
                  </w:rPr>
                  <m:t>+OpC</m:t>
                </m:r>
              </m:oMath>
            </m:oMathPara>
          </w:p>
        </w:tc>
        <w:tc>
          <w:tcPr>
            <w:tcW w:w="246" w:type="pct"/>
            <w:shd w:val="clear" w:color="auto" w:fill="auto"/>
            <w:vAlign w:val="center"/>
          </w:tcPr>
          <w:p w:rsidR="00E0272D" w:rsidRPr="00997F64" w:rsidRDefault="00E0272D" w:rsidP="00C97B8F">
            <w:pPr>
              <w:pStyle w:val="MDPI3aequationnumber"/>
              <w:spacing w:line="260" w:lineRule="atLeast"/>
            </w:pPr>
            <w:r>
              <w:t>(11</w:t>
            </w:r>
            <w:r w:rsidRPr="00997F64">
              <w:t>)</w:t>
            </w:r>
          </w:p>
        </w:tc>
      </w:tr>
      <w:tr w:rsidR="00E0272D" w:rsidRPr="00997F64" w:rsidTr="00C97B8F">
        <w:trPr>
          <w:jc w:val="center"/>
        </w:trPr>
        <w:tc>
          <w:tcPr>
            <w:tcW w:w="4754" w:type="pct"/>
            <w:shd w:val="clear" w:color="auto" w:fill="auto"/>
          </w:tcPr>
          <w:p w:rsidR="00E0272D" w:rsidRPr="00997F64" w:rsidRDefault="00E0272D" w:rsidP="00C97B8F">
            <w:pPr>
              <w:pStyle w:val="MDPI39equation"/>
            </w:pPr>
            <m:oMathPara>
              <m:oMath>
                <m:r>
                  <m:rPr>
                    <m:sty m:val="p"/>
                  </m:rPr>
                  <w:rPr>
                    <w:rFonts w:ascii="Cambria Math" w:hAnsi="Cambria Math"/>
                  </w:rPr>
                  <m:t>f=</m:t>
                </m:r>
                <m:f>
                  <m:fPr>
                    <m:ctrlPr>
                      <w:rPr>
                        <w:rFonts w:ascii="Cambria Math" w:hAnsi="Cambria Math"/>
                      </w:rPr>
                    </m:ctrlPr>
                  </m:fPr>
                  <m:num>
                    <m:r>
                      <m:rPr>
                        <m:sty m:val="p"/>
                      </m:rPr>
                      <w:rPr>
                        <w:rFonts w:ascii="Cambria Math" w:hAnsi="Cambria Math"/>
                      </w:rPr>
                      <m:t>i</m:t>
                    </m:r>
                    <m:sSup>
                      <m:sSupPr>
                        <m:ctrlPr>
                          <w:rPr>
                            <w:rFonts w:ascii="Cambria Math" w:hAnsi="Cambria Math"/>
                          </w:rPr>
                        </m:ctrlPr>
                      </m:sSupPr>
                      <m:e>
                        <m:r>
                          <m:rPr>
                            <m:sty m:val="p"/>
                          </m:rPr>
                          <w:rPr>
                            <w:rFonts w:ascii="Cambria Math" w:hAnsi="Cambria Math"/>
                          </w:rPr>
                          <m:t>(i+1)</m:t>
                        </m:r>
                      </m:e>
                      <m:sup>
                        <m:r>
                          <m:rPr>
                            <m:sty m:val="p"/>
                          </m:rPr>
                          <w:rPr>
                            <w:rFonts w:ascii="Cambria Math" w:hAnsi="Cambria Math"/>
                          </w:rPr>
                          <m:t>n</m:t>
                        </m:r>
                      </m:sup>
                    </m:sSup>
                  </m:num>
                  <m:den>
                    <m:sSup>
                      <m:sSupPr>
                        <m:ctrlPr>
                          <w:rPr>
                            <w:rFonts w:ascii="Cambria Math" w:hAnsi="Cambria Math"/>
                          </w:rPr>
                        </m:ctrlPr>
                      </m:sSupPr>
                      <m:e>
                        <m:r>
                          <m:rPr>
                            <m:sty m:val="p"/>
                          </m:rPr>
                          <w:rPr>
                            <w:rFonts w:ascii="Cambria Math" w:hAnsi="Cambria Math"/>
                          </w:rPr>
                          <m:t>(i+1)</m:t>
                        </m:r>
                      </m:e>
                      <m:sup>
                        <m:r>
                          <m:rPr>
                            <m:sty m:val="p"/>
                          </m:rPr>
                          <w:rPr>
                            <w:rFonts w:ascii="Cambria Math" w:hAnsi="Cambria Math"/>
                          </w:rPr>
                          <m:t>n</m:t>
                        </m:r>
                      </m:sup>
                    </m:sSup>
                    <m:r>
                      <w:rPr>
                        <w:rFonts w:ascii="Cambria Math" w:hAnsi="Cambria Math"/>
                      </w:rPr>
                      <m:t>-1</m:t>
                    </m:r>
                  </m:den>
                </m:f>
                <m:r>
                  <m:rPr>
                    <m:sty m:val="p"/>
                  </m:rPr>
                  <w:rPr>
                    <w:rFonts w:ascii="Cambria Math" w:hAnsi="Cambria Math"/>
                  </w:rPr>
                  <m:t>=0.10226</m:t>
                </m:r>
              </m:oMath>
            </m:oMathPara>
          </w:p>
        </w:tc>
        <w:tc>
          <w:tcPr>
            <w:tcW w:w="246" w:type="pct"/>
            <w:shd w:val="clear" w:color="auto" w:fill="auto"/>
            <w:vAlign w:val="center"/>
          </w:tcPr>
          <w:p w:rsidR="00E0272D" w:rsidRPr="00997F64" w:rsidRDefault="00E0272D" w:rsidP="00C97B8F">
            <w:pPr>
              <w:pStyle w:val="MDPI3aequationnumber"/>
              <w:spacing w:line="260" w:lineRule="atLeast"/>
            </w:pPr>
            <w:r>
              <w:t>(12</w:t>
            </w:r>
            <w:r w:rsidRPr="00997F64">
              <w:t>)</w:t>
            </w:r>
          </w:p>
        </w:tc>
      </w:tr>
    </w:tbl>
    <w:p w:rsidR="0075261E" w:rsidRDefault="0075261E" w:rsidP="00E0272D">
      <w:pPr>
        <w:pStyle w:val="MDPI31text"/>
      </w:pPr>
      <w:r w:rsidRPr="006239EC">
        <w:t>First of all, we observe that operating costs are orders of magnitude lower than investment cos</w:t>
      </w:r>
      <w:r w:rsidRPr="005B5926">
        <w:t xml:space="preserve">ts, which is a fact generally known in power systems. Second, we focus on the comparison of our ABM coded in Net Logo, and the TEP optimization model coded in GAMS. Since an optimization model assumes perfect information of all data, the obtained results correspond to the cost-minimal transmission expansion plan for a power grid. </w:t>
      </w:r>
      <w:r w:rsidRPr="001970B2">
        <w:fldChar w:fldCharType="begin"/>
      </w:r>
      <w:r w:rsidRPr="005B5926">
        <w:instrText xml:space="preserve"> REF _Ref504916521 \h </w:instrText>
      </w:r>
      <w:r w:rsidR="00E0272D">
        <w:instrText xml:space="preserve"> \* MERGEFORMAT </w:instrText>
      </w:r>
      <w:r w:rsidRPr="001970B2">
        <w:fldChar w:fldCharType="separate"/>
      </w:r>
      <w:r w:rsidR="00822D91" w:rsidRPr="001970B2">
        <w:t xml:space="preserve">Table </w:t>
      </w:r>
      <w:r w:rsidR="00822D91">
        <w:t>3</w:t>
      </w:r>
      <w:r w:rsidRPr="001970B2">
        <w:fldChar w:fldCharType="end"/>
      </w:r>
      <w:r w:rsidRPr="005B5926">
        <w:t xml:space="preserve"> shows that the total costs obtained by optimization are always below the total costs obtained by the ABM: the solution found by the ABM is suboptimal</w:t>
      </w:r>
      <w:r>
        <w:t xml:space="preserve">, as expected, the network it builds is not the perfect one. However, the ABM keeps a relatively close distance with respect to the optimal network: </w:t>
      </w:r>
      <w:r w:rsidRPr="005B5926">
        <w:t>consistently between 16 and 19%.</w:t>
      </w:r>
    </w:p>
    <w:p w:rsidR="004D2A1F" w:rsidRDefault="004D2A1F" w:rsidP="00E0272D">
      <w:pPr>
        <w:pStyle w:val="MDPI31text"/>
      </w:pPr>
    </w:p>
    <w:p w:rsidR="004D2A1F" w:rsidRDefault="004D2A1F" w:rsidP="00E0272D">
      <w:pPr>
        <w:pStyle w:val="MDPI31text"/>
      </w:pPr>
    </w:p>
    <w:p w:rsidR="004D2A1F" w:rsidRDefault="004D2A1F" w:rsidP="00E0272D">
      <w:pPr>
        <w:pStyle w:val="MDPI31text"/>
      </w:pPr>
    </w:p>
    <w:p w:rsidR="004D2A1F" w:rsidRDefault="004D2A1F" w:rsidP="00E0272D">
      <w:pPr>
        <w:pStyle w:val="MDPI31text"/>
      </w:pPr>
    </w:p>
    <w:p w:rsidR="0075261E" w:rsidRPr="00E0272D" w:rsidRDefault="0075261E" w:rsidP="00E0272D">
      <w:pPr>
        <w:pStyle w:val="MDPI41tablecaption"/>
        <w:jc w:val="center"/>
        <w:rPr>
          <w:b/>
        </w:rPr>
      </w:pPr>
      <w:bookmarkStart w:id="9" w:name="_Ref504916521"/>
      <w:r w:rsidRPr="00E0272D">
        <w:rPr>
          <w:b/>
        </w:rPr>
        <w:lastRenderedPageBreak/>
        <w:t xml:space="preserve">Table </w:t>
      </w:r>
      <w:r w:rsidRPr="00E0272D">
        <w:rPr>
          <w:b/>
        </w:rPr>
        <w:fldChar w:fldCharType="begin"/>
      </w:r>
      <w:r w:rsidRPr="00E0272D">
        <w:rPr>
          <w:b/>
        </w:rPr>
        <w:instrText xml:space="preserve"> SEQ Table \* ARABIC </w:instrText>
      </w:r>
      <w:r w:rsidRPr="00E0272D">
        <w:rPr>
          <w:b/>
        </w:rPr>
        <w:fldChar w:fldCharType="separate"/>
      </w:r>
      <w:r w:rsidR="00822D91" w:rsidRPr="00E0272D">
        <w:rPr>
          <w:b/>
        </w:rPr>
        <w:t>3</w:t>
      </w:r>
      <w:r w:rsidRPr="00E0272D">
        <w:rPr>
          <w:b/>
        </w:rPr>
        <w:fldChar w:fldCharType="end"/>
      </w:r>
      <w:bookmarkEnd w:id="9"/>
      <w:r w:rsidRPr="00E0272D">
        <w:rPr>
          <w:b/>
        </w:rPr>
        <w:t xml:space="preserve">. </w:t>
      </w:r>
      <w:r w:rsidRPr="00E0272D">
        <w:t>Comparison of operating (Op) costs, investment (Inv) costs, and total costs between ABM approach in Net Logo, and TEP optimization approach in GAMS</w:t>
      </w:r>
    </w:p>
    <w:tbl>
      <w:tblPr>
        <w:tblW w:w="82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51"/>
        <w:gridCol w:w="1134"/>
        <w:gridCol w:w="1044"/>
        <w:gridCol w:w="1224"/>
        <w:gridCol w:w="1134"/>
        <w:gridCol w:w="1062"/>
        <w:gridCol w:w="1206"/>
        <w:gridCol w:w="1134"/>
      </w:tblGrid>
      <w:tr w:rsidR="0075261E" w:rsidRPr="00E0272D" w:rsidTr="0075261E">
        <w:trPr>
          <w:jc w:val="center"/>
        </w:trPr>
        <w:tc>
          <w:tcPr>
            <w:tcW w:w="351" w:type="dxa"/>
            <w:tcBorders>
              <w:top w:val="single" w:sz="4" w:space="0" w:color="auto"/>
              <w:left w:val="single" w:sz="4" w:space="0" w:color="FFFFFF"/>
              <w:bottom w:val="single" w:sz="4" w:space="0" w:color="FFFFFF"/>
              <w:right w:val="nil"/>
            </w:tcBorders>
            <w:shd w:val="clear" w:color="auto" w:fill="auto"/>
            <w:tcMar>
              <w:left w:w="108" w:type="dxa"/>
            </w:tcMar>
          </w:tcPr>
          <w:p w:rsidR="0075261E" w:rsidRPr="00E0272D" w:rsidRDefault="0075261E" w:rsidP="0075261E">
            <w:pPr>
              <w:rPr>
                <w:rFonts w:ascii="Palatino Linotype" w:eastAsia="Calibri" w:hAnsi="Palatino Linotype"/>
                <w:b/>
                <w:sz w:val="18"/>
                <w:szCs w:val="18"/>
              </w:rPr>
            </w:pPr>
          </w:p>
        </w:tc>
        <w:tc>
          <w:tcPr>
            <w:tcW w:w="3402" w:type="dxa"/>
            <w:gridSpan w:val="3"/>
            <w:tcBorders>
              <w:top w:val="single" w:sz="4" w:space="0" w:color="auto"/>
              <w:left w:val="nil"/>
              <w:bottom w:val="nil"/>
              <w:right w:val="single" w:sz="4" w:space="0" w:color="auto"/>
            </w:tcBorders>
            <w:shd w:val="clear" w:color="auto" w:fill="auto"/>
            <w:tcMar>
              <w:left w:w="108" w:type="dxa"/>
            </w:tcMar>
          </w:tcPr>
          <w:p w:rsidR="0075261E" w:rsidRPr="00E0272D" w:rsidRDefault="0075261E" w:rsidP="0075261E">
            <w:pPr>
              <w:jc w:val="center"/>
              <w:rPr>
                <w:rFonts w:ascii="Palatino Linotype" w:eastAsia="Calibri" w:hAnsi="Palatino Linotype"/>
                <w:b/>
                <w:sz w:val="18"/>
                <w:szCs w:val="18"/>
              </w:rPr>
            </w:pPr>
            <w:r w:rsidRPr="00E0272D">
              <w:rPr>
                <w:rFonts w:ascii="Palatino Linotype" w:eastAsia="Calibri" w:hAnsi="Palatino Linotype"/>
                <w:b/>
                <w:sz w:val="18"/>
                <w:szCs w:val="18"/>
              </w:rPr>
              <w:t>ABM</w:t>
            </w:r>
          </w:p>
        </w:tc>
        <w:tc>
          <w:tcPr>
            <w:tcW w:w="3402" w:type="dxa"/>
            <w:gridSpan w:val="3"/>
            <w:tcBorders>
              <w:top w:val="single" w:sz="4" w:space="0" w:color="auto"/>
              <w:left w:val="single" w:sz="4" w:space="0" w:color="auto"/>
              <w:bottom w:val="nil"/>
              <w:right w:val="single" w:sz="4" w:space="0" w:color="auto"/>
            </w:tcBorders>
            <w:shd w:val="clear" w:color="auto" w:fill="auto"/>
          </w:tcPr>
          <w:p w:rsidR="0075261E" w:rsidRPr="00E0272D" w:rsidRDefault="0075261E" w:rsidP="0075261E">
            <w:pPr>
              <w:jc w:val="center"/>
              <w:rPr>
                <w:rFonts w:ascii="Palatino Linotype" w:eastAsia="Calibri" w:hAnsi="Palatino Linotype"/>
                <w:b/>
                <w:sz w:val="18"/>
                <w:szCs w:val="18"/>
              </w:rPr>
            </w:pPr>
            <w:r w:rsidRPr="00E0272D">
              <w:rPr>
                <w:rFonts w:ascii="Palatino Linotype" w:eastAsia="Calibri" w:hAnsi="Palatino Linotype"/>
                <w:b/>
                <w:sz w:val="18"/>
                <w:szCs w:val="18"/>
              </w:rPr>
              <w:t>MIP</w:t>
            </w:r>
          </w:p>
        </w:tc>
        <w:tc>
          <w:tcPr>
            <w:tcW w:w="1134" w:type="dxa"/>
            <w:tcBorders>
              <w:top w:val="single" w:sz="4" w:space="0" w:color="auto"/>
              <w:left w:val="single" w:sz="4" w:space="0" w:color="auto"/>
              <w:bottom w:val="nil"/>
              <w:right w:val="nil"/>
            </w:tcBorders>
            <w:shd w:val="clear" w:color="auto" w:fill="auto"/>
          </w:tcPr>
          <w:p w:rsidR="0075261E" w:rsidRPr="00E0272D" w:rsidRDefault="0075261E" w:rsidP="0075261E">
            <w:pPr>
              <w:jc w:val="center"/>
              <w:rPr>
                <w:rFonts w:ascii="Palatino Linotype" w:eastAsia="Calibri" w:hAnsi="Palatino Linotype"/>
                <w:b/>
                <w:sz w:val="18"/>
                <w:szCs w:val="18"/>
              </w:rPr>
            </w:pPr>
            <w:r w:rsidRPr="00E0272D">
              <w:rPr>
                <w:rFonts w:ascii="Palatino Linotype" w:eastAsia="Calibri" w:hAnsi="Palatino Linotype"/>
                <w:b/>
                <w:sz w:val="18"/>
                <w:szCs w:val="18"/>
              </w:rPr>
              <w:t>Δ(%)</w:t>
            </w:r>
          </w:p>
        </w:tc>
      </w:tr>
      <w:tr w:rsidR="0075261E" w:rsidRPr="00E0272D" w:rsidTr="0075261E">
        <w:trPr>
          <w:jc w:val="center"/>
        </w:trPr>
        <w:tc>
          <w:tcPr>
            <w:tcW w:w="351" w:type="dxa"/>
            <w:tcBorders>
              <w:top w:val="single" w:sz="4" w:space="0" w:color="FFFFFF"/>
              <w:left w:val="single" w:sz="4" w:space="0" w:color="FFFFFF"/>
              <w:bottom w:val="single" w:sz="4" w:space="0" w:color="auto"/>
              <w:right w:val="nil"/>
            </w:tcBorders>
            <w:shd w:val="clear" w:color="auto" w:fill="auto"/>
            <w:tcMar>
              <w:left w:w="108" w:type="dxa"/>
            </w:tcMar>
          </w:tcPr>
          <w:p w:rsidR="0075261E" w:rsidRPr="00E0272D" w:rsidRDefault="0075261E" w:rsidP="0075261E">
            <w:pPr>
              <w:rPr>
                <w:rFonts w:ascii="Palatino Linotype" w:eastAsia="Calibri" w:hAnsi="Palatino Linotype"/>
                <w:sz w:val="18"/>
                <w:szCs w:val="18"/>
              </w:rPr>
            </w:pPr>
          </w:p>
        </w:tc>
        <w:tc>
          <w:tcPr>
            <w:tcW w:w="1134" w:type="dxa"/>
            <w:tcBorders>
              <w:top w:val="nil"/>
              <w:left w:val="nil"/>
              <w:bottom w:val="single" w:sz="4" w:space="0" w:color="auto"/>
              <w:right w:val="nil"/>
            </w:tcBorders>
            <w:shd w:val="clear" w:color="auto" w:fill="auto"/>
            <w:tcMar>
              <w:left w:w="108" w:type="dxa"/>
            </w:tcMar>
          </w:tcPr>
          <w:p w:rsidR="0075261E" w:rsidRPr="00E0272D" w:rsidRDefault="0075261E" w:rsidP="0075261E">
            <w:pPr>
              <w:jc w:val="center"/>
              <w:rPr>
                <w:rFonts w:ascii="Palatino Linotype" w:eastAsia="Calibri" w:hAnsi="Palatino Linotype"/>
                <w:sz w:val="18"/>
                <w:szCs w:val="18"/>
              </w:rPr>
            </w:pPr>
            <w:r w:rsidRPr="00E0272D">
              <w:rPr>
                <w:rFonts w:ascii="Palatino Linotype" w:eastAsia="Calibri" w:hAnsi="Palatino Linotype"/>
                <w:sz w:val="18"/>
                <w:szCs w:val="18"/>
              </w:rPr>
              <w:t>Op Cost (€)</w:t>
            </w:r>
          </w:p>
        </w:tc>
        <w:tc>
          <w:tcPr>
            <w:tcW w:w="1044" w:type="dxa"/>
            <w:tcBorders>
              <w:top w:val="nil"/>
              <w:left w:val="nil"/>
              <w:bottom w:val="single" w:sz="4" w:space="0" w:color="auto"/>
              <w:right w:val="nil"/>
            </w:tcBorders>
            <w:shd w:val="clear" w:color="auto" w:fill="auto"/>
          </w:tcPr>
          <w:p w:rsidR="0075261E" w:rsidRPr="00E0272D" w:rsidRDefault="0075261E" w:rsidP="0075261E">
            <w:pPr>
              <w:jc w:val="center"/>
              <w:rPr>
                <w:rFonts w:ascii="Palatino Linotype" w:eastAsia="Calibri" w:hAnsi="Palatino Linotype"/>
                <w:sz w:val="18"/>
                <w:szCs w:val="18"/>
              </w:rPr>
            </w:pPr>
            <w:r w:rsidRPr="00E0272D">
              <w:rPr>
                <w:rFonts w:ascii="Palatino Linotype" w:eastAsia="Calibri" w:hAnsi="Palatino Linotype"/>
                <w:sz w:val="18"/>
                <w:szCs w:val="18"/>
              </w:rPr>
              <w:t>Inv Cost(€)</w:t>
            </w:r>
          </w:p>
        </w:tc>
        <w:tc>
          <w:tcPr>
            <w:tcW w:w="1224" w:type="dxa"/>
            <w:tcBorders>
              <w:top w:val="nil"/>
              <w:left w:val="nil"/>
              <w:bottom w:val="single" w:sz="4" w:space="0" w:color="auto"/>
              <w:right w:val="single" w:sz="4" w:space="0" w:color="auto"/>
            </w:tcBorders>
            <w:shd w:val="clear" w:color="auto" w:fill="auto"/>
          </w:tcPr>
          <w:p w:rsidR="0075261E" w:rsidRPr="00E0272D" w:rsidRDefault="0075261E" w:rsidP="0075261E">
            <w:pPr>
              <w:jc w:val="center"/>
              <w:rPr>
                <w:rFonts w:ascii="Palatino Linotype" w:eastAsia="Calibri" w:hAnsi="Palatino Linotype"/>
                <w:sz w:val="18"/>
                <w:szCs w:val="18"/>
              </w:rPr>
            </w:pPr>
            <w:r w:rsidRPr="00E0272D">
              <w:rPr>
                <w:rFonts w:ascii="Palatino Linotype" w:eastAsia="Calibri" w:hAnsi="Palatino Linotype"/>
                <w:sz w:val="18"/>
                <w:szCs w:val="18"/>
              </w:rPr>
              <w:t>Total Cost(€)</w:t>
            </w:r>
          </w:p>
        </w:tc>
        <w:tc>
          <w:tcPr>
            <w:tcW w:w="1134" w:type="dxa"/>
            <w:tcBorders>
              <w:top w:val="nil"/>
              <w:left w:val="single" w:sz="4" w:space="0" w:color="auto"/>
              <w:bottom w:val="single" w:sz="4" w:space="0" w:color="auto"/>
              <w:right w:val="nil"/>
            </w:tcBorders>
            <w:shd w:val="clear" w:color="auto" w:fill="auto"/>
          </w:tcPr>
          <w:p w:rsidR="0075261E" w:rsidRPr="00E0272D" w:rsidRDefault="0075261E" w:rsidP="0075261E">
            <w:pPr>
              <w:jc w:val="center"/>
              <w:rPr>
                <w:rFonts w:ascii="Palatino Linotype" w:eastAsia="Calibri" w:hAnsi="Palatino Linotype"/>
                <w:sz w:val="18"/>
                <w:szCs w:val="18"/>
              </w:rPr>
            </w:pPr>
            <w:r w:rsidRPr="00E0272D">
              <w:rPr>
                <w:rFonts w:ascii="Palatino Linotype" w:eastAsia="Calibri" w:hAnsi="Palatino Linotype"/>
                <w:sz w:val="18"/>
                <w:szCs w:val="18"/>
              </w:rPr>
              <w:t>Op Cost(€)</w:t>
            </w:r>
          </w:p>
        </w:tc>
        <w:tc>
          <w:tcPr>
            <w:tcW w:w="1062" w:type="dxa"/>
            <w:tcBorders>
              <w:top w:val="nil"/>
              <w:left w:val="nil"/>
              <w:bottom w:val="single" w:sz="4" w:space="0" w:color="auto"/>
              <w:right w:val="nil"/>
            </w:tcBorders>
            <w:shd w:val="clear" w:color="auto" w:fill="auto"/>
          </w:tcPr>
          <w:p w:rsidR="0075261E" w:rsidRPr="00E0272D" w:rsidRDefault="0075261E" w:rsidP="0075261E">
            <w:pPr>
              <w:jc w:val="center"/>
              <w:rPr>
                <w:rFonts w:ascii="Palatino Linotype" w:eastAsia="Calibri" w:hAnsi="Palatino Linotype"/>
                <w:sz w:val="18"/>
                <w:szCs w:val="18"/>
              </w:rPr>
            </w:pPr>
            <w:r w:rsidRPr="00E0272D">
              <w:rPr>
                <w:rFonts w:ascii="Palatino Linotype" w:eastAsia="Calibri" w:hAnsi="Palatino Linotype"/>
                <w:sz w:val="18"/>
                <w:szCs w:val="18"/>
              </w:rPr>
              <w:t>Inv Cost(€)</w:t>
            </w:r>
          </w:p>
        </w:tc>
        <w:tc>
          <w:tcPr>
            <w:tcW w:w="1206" w:type="dxa"/>
            <w:tcBorders>
              <w:top w:val="nil"/>
              <w:left w:val="nil"/>
              <w:bottom w:val="single" w:sz="4" w:space="0" w:color="auto"/>
              <w:right w:val="single" w:sz="4" w:space="0" w:color="auto"/>
            </w:tcBorders>
            <w:shd w:val="clear" w:color="auto" w:fill="auto"/>
          </w:tcPr>
          <w:p w:rsidR="0075261E" w:rsidRPr="00E0272D" w:rsidRDefault="0075261E" w:rsidP="0075261E">
            <w:pPr>
              <w:jc w:val="center"/>
              <w:rPr>
                <w:rFonts w:ascii="Palatino Linotype" w:eastAsia="Calibri" w:hAnsi="Palatino Linotype"/>
                <w:sz w:val="18"/>
                <w:szCs w:val="18"/>
              </w:rPr>
            </w:pPr>
            <w:r w:rsidRPr="00E0272D">
              <w:rPr>
                <w:rFonts w:ascii="Palatino Linotype" w:eastAsia="Calibri" w:hAnsi="Palatino Linotype"/>
                <w:sz w:val="18"/>
                <w:szCs w:val="18"/>
              </w:rPr>
              <w:t>Total Cost(€)</w:t>
            </w:r>
          </w:p>
        </w:tc>
        <w:tc>
          <w:tcPr>
            <w:tcW w:w="1134" w:type="dxa"/>
            <w:tcBorders>
              <w:top w:val="nil"/>
              <w:left w:val="single" w:sz="4" w:space="0" w:color="auto"/>
              <w:bottom w:val="single" w:sz="4" w:space="0" w:color="auto"/>
              <w:right w:val="nil"/>
            </w:tcBorders>
            <w:shd w:val="clear" w:color="auto" w:fill="auto"/>
          </w:tcPr>
          <w:p w:rsidR="0075261E" w:rsidRPr="00E0272D" w:rsidRDefault="0075261E" w:rsidP="0075261E">
            <w:pPr>
              <w:jc w:val="center"/>
              <w:rPr>
                <w:rFonts w:ascii="Palatino Linotype" w:eastAsia="Calibri" w:hAnsi="Palatino Linotype"/>
                <w:sz w:val="18"/>
                <w:szCs w:val="18"/>
              </w:rPr>
            </w:pPr>
            <w:r w:rsidRPr="00E0272D">
              <w:rPr>
                <w:rFonts w:ascii="Palatino Linotype" w:eastAsia="Calibri" w:hAnsi="Palatino Linotype"/>
                <w:sz w:val="18"/>
                <w:szCs w:val="18"/>
              </w:rPr>
              <w:t>Total Cost</w:t>
            </w:r>
          </w:p>
        </w:tc>
      </w:tr>
      <w:tr w:rsidR="0075261E" w:rsidRPr="00E0272D" w:rsidTr="0075261E">
        <w:trPr>
          <w:trHeight w:val="460"/>
          <w:jc w:val="center"/>
        </w:trPr>
        <w:tc>
          <w:tcPr>
            <w:tcW w:w="351" w:type="dxa"/>
            <w:tcBorders>
              <w:top w:val="single" w:sz="4" w:space="0" w:color="auto"/>
              <w:left w:val="nil"/>
              <w:bottom w:val="nil"/>
              <w:right w:val="nil"/>
            </w:tcBorders>
            <w:shd w:val="clear" w:color="auto" w:fill="auto"/>
            <w:tcMar>
              <w:left w:w="108" w:type="dxa"/>
            </w:tcMar>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1</w:t>
            </w:r>
          </w:p>
        </w:tc>
        <w:tc>
          <w:tcPr>
            <w:tcW w:w="1134" w:type="dxa"/>
            <w:tcBorders>
              <w:top w:val="single" w:sz="4" w:space="0" w:color="auto"/>
              <w:left w:val="nil"/>
              <w:bottom w:val="nil"/>
              <w:right w:val="nil"/>
            </w:tcBorders>
            <w:shd w:val="clear" w:color="auto" w:fill="auto"/>
            <w:tcMar>
              <w:left w:w="108" w:type="dxa"/>
            </w:tcMar>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5,912</w:t>
            </w:r>
          </w:p>
        </w:tc>
        <w:tc>
          <w:tcPr>
            <w:tcW w:w="1044" w:type="dxa"/>
            <w:tcBorders>
              <w:top w:val="single" w:sz="4" w:space="0" w:color="auto"/>
              <w:left w:val="nil"/>
              <w:bottom w:val="nil"/>
              <w:right w:val="nil"/>
            </w:tcBorders>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2,851,647</w:t>
            </w:r>
          </w:p>
        </w:tc>
        <w:tc>
          <w:tcPr>
            <w:tcW w:w="1224" w:type="dxa"/>
            <w:tcBorders>
              <w:top w:val="single" w:sz="4" w:space="0" w:color="auto"/>
              <w:left w:val="nil"/>
              <w:bottom w:val="nil"/>
              <w:right w:val="single" w:sz="4" w:space="0" w:color="auto"/>
            </w:tcBorders>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297,522</w:t>
            </w:r>
          </w:p>
        </w:tc>
        <w:tc>
          <w:tcPr>
            <w:tcW w:w="1134" w:type="dxa"/>
            <w:tcBorders>
              <w:top w:val="single" w:sz="4" w:space="0" w:color="auto"/>
              <w:left w:val="single" w:sz="4" w:space="0" w:color="auto"/>
              <w:bottom w:val="nil"/>
              <w:right w:val="nil"/>
            </w:tcBorders>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2,757</w:t>
            </w:r>
          </w:p>
        </w:tc>
        <w:tc>
          <w:tcPr>
            <w:tcW w:w="1062" w:type="dxa"/>
            <w:tcBorders>
              <w:top w:val="single" w:sz="4" w:space="0" w:color="auto"/>
              <w:left w:val="nil"/>
              <w:bottom w:val="nil"/>
              <w:right w:val="nil"/>
            </w:tcBorders>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2,149,000</w:t>
            </w:r>
          </w:p>
        </w:tc>
        <w:tc>
          <w:tcPr>
            <w:tcW w:w="1206" w:type="dxa"/>
            <w:tcBorders>
              <w:top w:val="single" w:sz="4" w:space="0" w:color="auto"/>
              <w:left w:val="nil"/>
              <w:bottom w:val="nil"/>
              <w:right w:val="single" w:sz="4" w:space="0" w:color="auto"/>
            </w:tcBorders>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247,323</w:t>
            </w:r>
          </w:p>
        </w:tc>
        <w:tc>
          <w:tcPr>
            <w:tcW w:w="1134" w:type="dxa"/>
            <w:tcBorders>
              <w:top w:val="single" w:sz="4" w:space="0" w:color="auto"/>
              <w:left w:val="single" w:sz="4" w:space="0" w:color="auto"/>
              <w:bottom w:val="nil"/>
              <w:right w:val="nil"/>
            </w:tcBorders>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16.9%</w:t>
            </w:r>
          </w:p>
        </w:tc>
      </w:tr>
      <w:tr w:rsidR="0075261E" w:rsidRPr="00E0272D" w:rsidTr="0075261E">
        <w:trPr>
          <w:jc w:val="center"/>
        </w:trPr>
        <w:tc>
          <w:tcPr>
            <w:tcW w:w="351" w:type="dxa"/>
            <w:tcBorders>
              <w:top w:val="nil"/>
              <w:left w:val="nil"/>
              <w:bottom w:val="nil"/>
              <w:right w:val="nil"/>
            </w:tcBorders>
            <w:shd w:val="clear" w:color="auto" w:fill="auto"/>
            <w:tcMar>
              <w:left w:w="108" w:type="dxa"/>
            </w:tcMar>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2</w:t>
            </w:r>
          </w:p>
        </w:tc>
        <w:tc>
          <w:tcPr>
            <w:tcW w:w="1134" w:type="dxa"/>
            <w:tcBorders>
              <w:top w:val="nil"/>
              <w:left w:val="nil"/>
              <w:bottom w:val="nil"/>
              <w:right w:val="nil"/>
            </w:tcBorders>
            <w:shd w:val="clear" w:color="auto" w:fill="auto"/>
            <w:tcMar>
              <w:left w:w="108" w:type="dxa"/>
            </w:tcMar>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3,556</w:t>
            </w:r>
          </w:p>
        </w:tc>
        <w:tc>
          <w:tcPr>
            <w:tcW w:w="1044" w:type="dxa"/>
            <w:tcBorders>
              <w:top w:val="nil"/>
              <w:left w:val="nil"/>
              <w:bottom w:val="nil"/>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5,156,841   </w:t>
            </w:r>
          </w:p>
        </w:tc>
        <w:tc>
          <w:tcPr>
            <w:tcW w:w="1224" w:type="dxa"/>
            <w:tcBorders>
              <w:top w:val="nil"/>
              <w:left w:val="nil"/>
              <w:bottom w:val="nil"/>
              <w:right w:val="single" w:sz="4" w:space="0" w:color="auto"/>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530,894   </w:t>
            </w:r>
          </w:p>
        </w:tc>
        <w:tc>
          <w:tcPr>
            <w:tcW w:w="1134" w:type="dxa"/>
            <w:tcBorders>
              <w:top w:val="nil"/>
              <w:left w:val="single" w:sz="4" w:space="0" w:color="auto"/>
              <w:bottom w:val="nil"/>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3,298   </w:t>
            </w:r>
          </w:p>
        </w:tc>
        <w:tc>
          <w:tcPr>
            <w:tcW w:w="1062" w:type="dxa"/>
            <w:tcBorders>
              <w:top w:val="nil"/>
              <w:left w:val="nil"/>
              <w:bottom w:val="nil"/>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4,385,500   </w:t>
            </w:r>
          </w:p>
        </w:tc>
        <w:tc>
          <w:tcPr>
            <w:tcW w:w="1206" w:type="dxa"/>
            <w:tcBorders>
              <w:top w:val="nil"/>
              <w:left w:val="nil"/>
              <w:bottom w:val="nil"/>
              <w:right w:val="single" w:sz="4" w:space="0" w:color="auto"/>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435,025   </w:t>
            </w:r>
          </w:p>
        </w:tc>
        <w:tc>
          <w:tcPr>
            <w:tcW w:w="1134" w:type="dxa"/>
            <w:tcBorders>
              <w:top w:val="nil"/>
              <w:left w:val="single" w:sz="4" w:space="0" w:color="auto"/>
              <w:bottom w:val="nil"/>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18.1%   </w:t>
            </w:r>
          </w:p>
        </w:tc>
      </w:tr>
      <w:tr w:rsidR="0075261E" w:rsidRPr="00E0272D" w:rsidTr="0075261E">
        <w:trPr>
          <w:jc w:val="center"/>
        </w:trPr>
        <w:tc>
          <w:tcPr>
            <w:tcW w:w="351" w:type="dxa"/>
            <w:tcBorders>
              <w:top w:val="nil"/>
              <w:left w:val="nil"/>
              <w:bottom w:val="nil"/>
              <w:right w:val="nil"/>
            </w:tcBorders>
            <w:shd w:val="clear" w:color="auto" w:fill="auto"/>
            <w:tcMar>
              <w:left w:w="108" w:type="dxa"/>
            </w:tcMar>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3</w:t>
            </w:r>
          </w:p>
        </w:tc>
        <w:tc>
          <w:tcPr>
            <w:tcW w:w="1134" w:type="dxa"/>
            <w:tcBorders>
              <w:top w:val="nil"/>
              <w:left w:val="nil"/>
              <w:bottom w:val="nil"/>
              <w:right w:val="nil"/>
            </w:tcBorders>
            <w:shd w:val="clear" w:color="auto" w:fill="auto"/>
            <w:tcMar>
              <w:left w:w="108" w:type="dxa"/>
            </w:tcMar>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2,027</w:t>
            </w:r>
          </w:p>
        </w:tc>
        <w:tc>
          <w:tcPr>
            <w:tcW w:w="1044" w:type="dxa"/>
            <w:tcBorders>
              <w:top w:val="nil"/>
              <w:left w:val="nil"/>
              <w:bottom w:val="nil"/>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5,609,869   </w:t>
            </w:r>
          </w:p>
        </w:tc>
        <w:tc>
          <w:tcPr>
            <w:tcW w:w="1224" w:type="dxa"/>
            <w:tcBorders>
              <w:top w:val="nil"/>
              <w:left w:val="nil"/>
              <w:bottom w:val="nil"/>
              <w:right w:val="single" w:sz="4" w:space="0" w:color="auto"/>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575,693   </w:t>
            </w:r>
          </w:p>
        </w:tc>
        <w:tc>
          <w:tcPr>
            <w:tcW w:w="1134" w:type="dxa"/>
            <w:tcBorders>
              <w:top w:val="nil"/>
              <w:left w:val="single" w:sz="4" w:space="0" w:color="auto"/>
              <w:bottom w:val="nil"/>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1,157   </w:t>
            </w:r>
          </w:p>
        </w:tc>
        <w:tc>
          <w:tcPr>
            <w:tcW w:w="1062" w:type="dxa"/>
            <w:tcBorders>
              <w:top w:val="nil"/>
              <w:left w:val="nil"/>
              <w:bottom w:val="nil"/>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4,574,100   </w:t>
            </w:r>
          </w:p>
        </w:tc>
        <w:tc>
          <w:tcPr>
            <w:tcW w:w="1206" w:type="dxa"/>
            <w:tcBorders>
              <w:top w:val="nil"/>
              <w:left w:val="nil"/>
              <w:bottom w:val="nil"/>
              <w:right w:val="single" w:sz="4" w:space="0" w:color="auto"/>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477,062   </w:t>
            </w:r>
          </w:p>
        </w:tc>
        <w:tc>
          <w:tcPr>
            <w:tcW w:w="1134" w:type="dxa"/>
            <w:tcBorders>
              <w:top w:val="nil"/>
              <w:left w:val="single" w:sz="4" w:space="0" w:color="auto"/>
              <w:bottom w:val="nil"/>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17.1%   </w:t>
            </w:r>
          </w:p>
        </w:tc>
      </w:tr>
      <w:tr w:rsidR="0075261E" w:rsidRPr="00E0272D" w:rsidTr="0075261E">
        <w:trPr>
          <w:jc w:val="center"/>
        </w:trPr>
        <w:tc>
          <w:tcPr>
            <w:tcW w:w="351" w:type="dxa"/>
            <w:tcBorders>
              <w:top w:val="nil"/>
              <w:left w:val="nil"/>
              <w:bottom w:val="single" w:sz="4" w:space="0" w:color="auto"/>
              <w:right w:val="nil"/>
            </w:tcBorders>
            <w:shd w:val="clear" w:color="auto" w:fill="auto"/>
            <w:tcMar>
              <w:left w:w="108" w:type="dxa"/>
            </w:tcMar>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4</w:t>
            </w:r>
          </w:p>
        </w:tc>
        <w:tc>
          <w:tcPr>
            <w:tcW w:w="1134" w:type="dxa"/>
            <w:tcBorders>
              <w:top w:val="nil"/>
              <w:left w:val="nil"/>
              <w:bottom w:val="single" w:sz="4" w:space="0" w:color="auto"/>
              <w:right w:val="nil"/>
            </w:tcBorders>
            <w:shd w:val="clear" w:color="auto" w:fill="auto"/>
            <w:tcMar>
              <w:left w:w="108" w:type="dxa"/>
            </w:tcMar>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2,755</w:t>
            </w:r>
          </w:p>
        </w:tc>
        <w:tc>
          <w:tcPr>
            <w:tcW w:w="1044" w:type="dxa"/>
            <w:tcBorders>
              <w:top w:val="nil"/>
              <w:left w:val="nil"/>
              <w:bottom w:val="single" w:sz="4" w:space="0" w:color="auto"/>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3,602,599   </w:t>
            </w:r>
          </w:p>
        </w:tc>
        <w:tc>
          <w:tcPr>
            <w:tcW w:w="1224" w:type="dxa"/>
            <w:tcBorders>
              <w:top w:val="nil"/>
              <w:left w:val="nil"/>
              <w:bottom w:val="single" w:sz="4" w:space="0" w:color="auto"/>
              <w:right w:val="single" w:sz="4" w:space="0" w:color="auto"/>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311,157   </w:t>
            </w:r>
          </w:p>
        </w:tc>
        <w:tc>
          <w:tcPr>
            <w:tcW w:w="1134" w:type="dxa"/>
            <w:tcBorders>
              <w:top w:val="nil"/>
              <w:left w:val="single" w:sz="4" w:space="0" w:color="auto"/>
              <w:bottom w:val="single" w:sz="4" w:space="0" w:color="auto"/>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3,492   </w:t>
            </w:r>
          </w:p>
        </w:tc>
        <w:tc>
          <w:tcPr>
            <w:tcW w:w="1062" w:type="dxa"/>
            <w:tcBorders>
              <w:top w:val="nil"/>
              <w:left w:val="nil"/>
              <w:bottom w:val="single" w:sz="4" w:space="0" w:color="auto"/>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2,443,300   </w:t>
            </w:r>
          </w:p>
        </w:tc>
        <w:tc>
          <w:tcPr>
            <w:tcW w:w="1206" w:type="dxa"/>
            <w:tcBorders>
              <w:top w:val="nil"/>
              <w:left w:val="nil"/>
              <w:bottom w:val="single" w:sz="4" w:space="0" w:color="auto"/>
              <w:right w:val="single" w:sz="4" w:space="0" w:color="auto"/>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251,760   </w:t>
            </w:r>
          </w:p>
        </w:tc>
        <w:tc>
          <w:tcPr>
            <w:tcW w:w="1134" w:type="dxa"/>
            <w:tcBorders>
              <w:top w:val="nil"/>
              <w:left w:val="single" w:sz="4" w:space="0" w:color="auto"/>
              <w:bottom w:val="single" w:sz="4" w:space="0" w:color="auto"/>
              <w:right w:val="nil"/>
            </w:tcBorders>
            <w:shd w:val="clear" w:color="auto" w:fill="auto"/>
            <w:vAlign w:val="bottom"/>
          </w:tcPr>
          <w:p w:rsidR="0075261E" w:rsidRPr="00E0272D" w:rsidRDefault="0075261E" w:rsidP="0075261E">
            <w:pPr>
              <w:keepNext/>
              <w:keepLines/>
              <w:jc w:val="right"/>
              <w:rPr>
                <w:rFonts w:ascii="Palatino Linotype" w:hAnsi="Palatino Linotype"/>
                <w:noProof/>
                <w:sz w:val="18"/>
              </w:rPr>
            </w:pPr>
            <w:r w:rsidRPr="00E0272D">
              <w:rPr>
                <w:rFonts w:ascii="Palatino Linotype" w:hAnsi="Palatino Linotype"/>
                <w:noProof/>
                <w:sz w:val="18"/>
              </w:rPr>
              <w:t xml:space="preserve"> 19.0%   </w:t>
            </w:r>
          </w:p>
        </w:tc>
      </w:tr>
    </w:tbl>
    <w:p w:rsidR="0075261E" w:rsidRPr="005B5926" w:rsidRDefault="0075261E" w:rsidP="0075261E">
      <w:pPr>
        <w:pStyle w:val="Els-body-text"/>
        <w:ind w:right="-28"/>
      </w:pPr>
    </w:p>
    <w:p w:rsidR="00E0272D" w:rsidRDefault="0075261E" w:rsidP="00E0272D">
      <w:pPr>
        <w:pStyle w:val="MDPI33textspaceafter"/>
      </w:pPr>
      <w:r>
        <w:t xml:space="preserve">Our </w:t>
      </w:r>
      <w:r w:rsidRPr="00F4435F">
        <w:t>ABM does not provide the globally optimal expansion solution</w:t>
      </w:r>
      <w:r>
        <w:t>; h</w:t>
      </w:r>
      <w:r w:rsidRPr="00D36558">
        <w:t xml:space="preserve">owever, the behavior of the simulated </w:t>
      </w:r>
      <w:r w:rsidR="004D2A1F">
        <w:t>mold</w:t>
      </w:r>
      <w:r w:rsidRPr="00D36558">
        <w:t xml:space="preserve"> approximates the optimal solution of a power grid reasonably well. The difference in costs is due to the fact that the </w:t>
      </w:r>
      <w:r w:rsidR="004D2A1F">
        <w:t>mold</w:t>
      </w:r>
      <w:r w:rsidRPr="00D36558">
        <w:t xml:space="preserve">’s behavior is based on increasing areas of interconnection between sources and sinks, while the GAMS solution treats the overall environment at once assuming perfect information. In particular, solving a TEP problem using optimization corresponds to a global planner with perfect information (about the location of demands and generators, as well as their technology, and distances between nodes), whereas our </w:t>
      </w:r>
      <w:r w:rsidR="004D2A1F">
        <w:t>mold</w:t>
      </w:r>
      <w:r w:rsidRPr="00D36558">
        <w:t>-inspired ABM mimics the behavior o</w:t>
      </w:r>
      <w:r>
        <w:t>f</w:t>
      </w:r>
      <w:r w:rsidRPr="00D36558">
        <w:t xml:space="preserve"> a natural organism that only receives local information</w:t>
      </w:r>
      <w:r>
        <w:t>.</w:t>
      </w:r>
    </w:p>
    <w:p w:rsidR="0075261E" w:rsidRPr="00D36558" w:rsidRDefault="0075261E" w:rsidP="00E0272D">
      <w:pPr>
        <w:pStyle w:val="MDPI33textspaceafter"/>
      </w:pPr>
      <w:r w:rsidRPr="00D36558">
        <w:t xml:space="preserve">We could argue that, even though our results differ from the globally optimal results </w:t>
      </w:r>
      <w:r w:rsidRPr="00327EB6">
        <w:t xml:space="preserve">between 16 and 19%, the </w:t>
      </w:r>
      <w:r w:rsidR="004D2A1F">
        <w:t>mold</w:t>
      </w:r>
      <w:r w:rsidRPr="00327EB6">
        <w:t xml:space="preserve">-inspired network might be more robust to possible changes </w:t>
      </w:r>
      <w:r w:rsidRPr="00D36558">
        <w:t xml:space="preserve">in the system. For example, starting from both network solutions (the ABM solution and the globally optimal plan) and randomly adding a new node, it is very likely that the </w:t>
      </w:r>
      <w:r w:rsidR="004D2A1F">
        <w:t>mold</w:t>
      </w:r>
      <w:r w:rsidRPr="00D36558">
        <w:t>-inspired network is more robust to integrate this additional node in a cost-optimal way. This hypothesis</w:t>
      </w:r>
      <w:r>
        <w:t xml:space="preserve"> seems reasonable given that this has been shown to be the case in other biological networks. However</w:t>
      </w:r>
      <w:r w:rsidRPr="00D36558">
        <w:t xml:space="preserve">, </w:t>
      </w:r>
      <w:r>
        <w:t xml:space="preserve">it </w:t>
      </w:r>
      <w:r w:rsidRPr="00D36558">
        <w:t>should be analyzed</w:t>
      </w:r>
      <w:r>
        <w:t xml:space="preserve"> carefully to prove its validity in the context of power networks.</w:t>
      </w:r>
    </w:p>
    <w:p w:rsidR="0075261E" w:rsidRPr="007061B8" w:rsidRDefault="0075261E" w:rsidP="00E0272D">
      <w:pPr>
        <w:pStyle w:val="MDPI33textspaceafter"/>
      </w:pPr>
      <w:r w:rsidRPr="005B5926">
        <w:t>The ABM yields a network with more lines than the optimization model does, which is the main factor that makes total cost rise. However, operating cost is cheaper in the ABM constructed network than in the cost-optimal network. The over-construction of power lines seems to have the advantage of leading to cheaper operating costs</w:t>
      </w:r>
      <w:r>
        <w:t xml:space="preserve"> as well as increasing the robustness of the solution.</w:t>
      </w:r>
    </w:p>
    <w:p w:rsidR="0075261E" w:rsidRPr="005B5926" w:rsidRDefault="0075261E" w:rsidP="00E0272D">
      <w:pPr>
        <w:pStyle w:val="MDPI33textspaceafter"/>
      </w:pPr>
      <w:r w:rsidRPr="005B5926">
        <w:t xml:space="preserve">Our results show how the </w:t>
      </w:r>
      <w:r w:rsidR="004D2A1F">
        <w:t>mold</w:t>
      </w:r>
      <w:r w:rsidRPr="005B5926">
        <w:t xml:space="preserve">-inspired ABM is capable of creating, if not the globally optimal network, a reasonably good one, and one that might potentially be even more robust to possible changes and lead to lower operating costs. The fact that the </w:t>
      </w:r>
      <w:r w:rsidR="004D2A1F">
        <w:t>mold</w:t>
      </w:r>
      <w:r w:rsidRPr="005B5926">
        <w:t xml:space="preserve">-inspired ABM can achieve quasi-optimal designs using local information only is especially relevant for the TEP problem given that solving TEP using optimization is </w:t>
      </w:r>
      <w:r w:rsidRPr="00E83BF0">
        <w:t xml:space="preserve">known to be a computationally heavy problem where solving large case studies </w:t>
      </w:r>
      <w:r>
        <w:t>is often unmanageable.</w:t>
      </w:r>
    </w:p>
    <w:p w:rsidR="0075261E" w:rsidRPr="005B5926" w:rsidRDefault="0075261E" w:rsidP="00473D7D">
      <w:pPr>
        <w:pStyle w:val="MDPI22heading2"/>
        <w:numPr>
          <w:ilvl w:val="1"/>
          <w:numId w:val="12"/>
        </w:numPr>
        <w:ind w:left="0" w:firstLine="0"/>
      </w:pPr>
      <w:bookmarkStart w:id="10" w:name="_Ref504915261"/>
      <w:r w:rsidRPr="005B5926">
        <w:t>Sensitivity analysis</w:t>
      </w:r>
      <w:bookmarkEnd w:id="10"/>
      <w:r w:rsidRPr="005B5926">
        <w:t xml:space="preserve"> </w:t>
      </w:r>
    </w:p>
    <w:p w:rsidR="0075261E" w:rsidRPr="001970B2" w:rsidRDefault="0075261E" w:rsidP="00E0272D">
      <w:pPr>
        <w:pStyle w:val="MDPI33textspaceafter"/>
      </w:pPr>
      <w:r w:rsidRPr="005B5926">
        <w:t xml:space="preserve">A sensitivity analysis was performed to understand how changes in the environment affect the total cost of networks designed by the </w:t>
      </w:r>
      <w:r w:rsidR="004D2A1F">
        <w:t>mold</w:t>
      </w:r>
      <w:r w:rsidRPr="005B5926">
        <w:t xml:space="preserve">. </w:t>
      </w:r>
      <w:r w:rsidRPr="001970B2">
        <w:t xml:space="preserve">We run each simulation 20 times for each parameter combination in order to get statistically sound results. The parameter space of the model is potentially very wide, hence, we decided to restrict our sensitivity simulations to a narrow parameter subset. The number of sinks and sources was fixed at 10, and we established an initial value for the transmission capacity of 10% of the total capacity of the transmission line. Each simulation run returns the investment cost, operating cost, and total cost of building and opertating the network. The simulation also returns cable capacities and the sum of PNS during each simulation. </w:t>
      </w:r>
    </w:p>
    <w:p w:rsidR="0075261E" w:rsidRPr="005B5926" w:rsidRDefault="0075261E" w:rsidP="00E0272D">
      <w:pPr>
        <w:pStyle w:val="MDPI33textspaceafter"/>
      </w:pPr>
      <w:r w:rsidRPr="00F4435F">
        <w:lastRenderedPageBreak/>
        <w:t>In this sensitivity analysis we explored the following parameter spaces: the relative penetration of cheap versus expensive generation technologies</w:t>
      </w:r>
      <w:r w:rsidRPr="005B5926">
        <w:t xml:space="preserve"> (</w:t>
      </w:r>
      <w:r>
        <w:t>that is, modifying the</w:t>
      </w:r>
      <w:r w:rsidRPr="005B5926">
        <w:t xml:space="preserve"> dominating </w:t>
      </w:r>
      <w:r>
        <w:t xml:space="preserve">generation </w:t>
      </w:r>
      <w:r w:rsidRPr="005B5926">
        <w:t>technology), cable investment cost and the value of non-served power penalty.</w:t>
      </w:r>
    </w:p>
    <w:p w:rsidR="0075261E" w:rsidRPr="005B5926" w:rsidRDefault="0075261E" w:rsidP="00473D7D">
      <w:pPr>
        <w:pStyle w:val="MDPI22heading2"/>
        <w:numPr>
          <w:ilvl w:val="1"/>
          <w:numId w:val="12"/>
        </w:numPr>
        <w:ind w:left="0" w:firstLine="0"/>
      </w:pPr>
      <w:r w:rsidRPr="005B5926">
        <w:t>Impact of the technology mix</w:t>
      </w:r>
    </w:p>
    <w:p w:rsidR="0075261E" w:rsidRPr="005B5926" w:rsidRDefault="0075261E" w:rsidP="000A3954">
      <w:pPr>
        <w:pStyle w:val="MDPI33textspaceafter"/>
      </w:pPr>
      <w:r w:rsidRPr="001970B2">
        <w:t>In this sensitivity analysis we assess how the technology mix of a power system impacts the obtained transmission ex</w:t>
      </w:r>
      <w:r>
        <w:t>pansion plan as well as</w:t>
      </w:r>
      <w:r w:rsidRPr="001970B2">
        <w:t xml:space="preserve"> investment and operating costs. To that purpose, we consider 10 scenarios of different technology mixes. The relative capacity penetration per scenario and for each technology is given by </w:t>
      </w:r>
      <w:r w:rsidRPr="001970B2">
        <w:fldChar w:fldCharType="begin"/>
      </w:r>
      <w:r w:rsidRPr="001970B2">
        <w:instrText xml:space="preserve"> REF _Ref504995306 \h </w:instrText>
      </w:r>
      <w:r w:rsidR="000A3954">
        <w:instrText xml:space="preserve"> \* MERGEFORMAT </w:instrText>
      </w:r>
      <w:r w:rsidRPr="001970B2">
        <w:fldChar w:fldCharType="separate"/>
      </w:r>
      <w:r w:rsidR="00822D91" w:rsidRPr="001970B2">
        <w:t xml:space="preserve">Table </w:t>
      </w:r>
      <w:r w:rsidR="00822D91">
        <w:t>4</w:t>
      </w:r>
      <w:r w:rsidRPr="001970B2">
        <w:fldChar w:fldCharType="end"/>
      </w:r>
      <w:r w:rsidRPr="001970B2">
        <w:t xml:space="preserve">. </w:t>
      </w:r>
      <w:r w:rsidRPr="005B5926">
        <w:t>Variable productio</w:t>
      </w:r>
      <w:r w:rsidRPr="00F4435F">
        <w:t>n costs of the technologies are as follows: 18 €/MWh for nuclear energy, 58.6 €/MWh for coal energy, 56.91 €/MWh for closed</w:t>
      </w:r>
      <w:r w:rsidRPr="005B5926">
        <w:t>-cycle gas turbine, 100 €/MWh for open-cycle gas turbine, 1 €/MWh for wind energy, 3 €/MWh for solar energy and 3 €/MWh for hydroelectric energy.</w:t>
      </w:r>
    </w:p>
    <w:p w:rsidR="0075261E" w:rsidRDefault="0075261E" w:rsidP="000A3954">
      <w:pPr>
        <w:pStyle w:val="MDPI33textspaceafter"/>
      </w:pPr>
      <w:r w:rsidRPr="005B5926">
        <w:t>It should be noted that we start with a system in which we predominantly have thermal peaking generation (scenarios 1-4). Then, thermal base-load technologies such as nuclear and coal are introduced in the technology mix up until a 50% penetration (scenarios 2-6). Afterwards, we introduce renewable energy sources such as hydro, solar and wind into the system up to 100% renewable penetration (scenarios 7-10).</w:t>
      </w:r>
      <w:r w:rsidRPr="001970B2">
        <w:t xml:space="preserve"> These scenarios can also be interpreted as going from expensive to cheaper operating costs.</w:t>
      </w:r>
    </w:p>
    <w:p w:rsidR="0075261E" w:rsidRPr="001970B2" w:rsidRDefault="0075261E" w:rsidP="000A3954">
      <w:pPr>
        <w:pStyle w:val="MDPI41tablecaption"/>
        <w:jc w:val="center"/>
      </w:pPr>
      <w:bookmarkStart w:id="11" w:name="_Ref504995306"/>
      <w:r w:rsidRPr="000A3954">
        <w:rPr>
          <w:b/>
        </w:rPr>
        <w:t xml:space="preserve">Table </w:t>
      </w:r>
      <w:r w:rsidRPr="000A3954">
        <w:rPr>
          <w:b/>
        </w:rPr>
        <w:fldChar w:fldCharType="begin"/>
      </w:r>
      <w:r w:rsidRPr="000A3954">
        <w:rPr>
          <w:b/>
        </w:rPr>
        <w:instrText xml:space="preserve"> SEQ Table \* ARABIC </w:instrText>
      </w:r>
      <w:r w:rsidRPr="000A3954">
        <w:rPr>
          <w:b/>
        </w:rPr>
        <w:fldChar w:fldCharType="separate"/>
      </w:r>
      <w:r w:rsidR="00822D91" w:rsidRPr="000A3954">
        <w:rPr>
          <w:b/>
        </w:rPr>
        <w:t>4</w:t>
      </w:r>
      <w:r w:rsidRPr="000A3954">
        <w:rPr>
          <w:b/>
        </w:rPr>
        <w:fldChar w:fldCharType="end"/>
      </w:r>
      <w:bookmarkEnd w:id="11"/>
      <w:r w:rsidRPr="000A3954">
        <w:rPr>
          <w:b/>
        </w:rPr>
        <w:t>.</w:t>
      </w:r>
      <w:r w:rsidRPr="001970B2">
        <w:t xml:space="preserve"> Percentage of capacity penetration of each technology for each of the scenarios</w:t>
      </w:r>
    </w:p>
    <w:tbl>
      <w:tblPr>
        <w:tblW w:w="0" w:type="auto"/>
        <w:jc w:val="center"/>
        <w:tblLook w:val="04A0" w:firstRow="1" w:lastRow="0" w:firstColumn="1" w:lastColumn="0" w:noHBand="0" w:noVBand="1"/>
      </w:tblPr>
      <w:tblGrid>
        <w:gridCol w:w="926"/>
        <w:gridCol w:w="646"/>
        <w:gridCol w:w="616"/>
        <w:gridCol w:w="707"/>
        <w:gridCol w:w="826"/>
        <w:gridCol w:w="546"/>
        <w:gridCol w:w="766"/>
        <w:gridCol w:w="746"/>
      </w:tblGrid>
      <w:tr w:rsidR="0075261E" w:rsidRPr="005B5926" w:rsidTr="000A3954">
        <w:trPr>
          <w:trHeight w:val="20"/>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b/>
                <w:sz w:val="18"/>
                <w:szCs w:val="18"/>
              </w:rPr>
            </w:pPr>
            <w:r w:rsidRPr="000A3954">
              <w:rPr>
                <w:rFonts w:ascii="Palatino Linotype" w:eastAsia="Calibri" w:hAnsi="Palatino Linotype"/>
                <w:b/>
                <w:sz w:val="18"/>
                <w:szCs w:val="18"/>
              </w:rPr>
              <w:t>Scenario</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b/>
                <w:sz w:val="18"/>
                <w:szCs w:val="18"/>
              </w:rPr>
            </w:pPr>
            <w:r w:rsidRPr="000A3954">
              <w:rPr>
                <w:rFonts w:ascii="Palatino Linotype" w:eastAsia="Calibri" w:hAnsi="Palatino Linotype"/>
                <w:b/>
                <w:sz w:val="18"/>
                <w:szCs w:val="18"/>
              </w:rPr>
              <w:t>% wind</w:t>
            </w:r>
          </w:p>
        </w:tc>
        <w:tc>
          <w:tcPr>
            <w:tcW w:w="529" w:type="dxa"/>
            <w:tcBorders>
              <w:top w:val="single" w:sz="4" w:space="0" w:color="auto"/>
              <w:bottom w:val="single" w:sz="4" w:space="0" w:color="auto"/>
            </w:tcBorders>
            <w:shd w:val="clear" w:color="auto" w:fill="auto"/>
            <w:vAlign w:val="center"/>
          </w:tcPr>
          <w:p w:rsidR="0075261E" w:rsidRPr="000A3954" w:rsidRDefault="0075261E" w:rsidP="0075261E">
            <w:pPr>
              <w:jc w:val="center"/>
              <w:rPr>
                <w:rFonts w:ascii="Palatino Linotype" w:eastAsia="Calibri" w:hAnsi="Palatino Linotype"/>
                <w:b/>
                <w:sz w:val="18"/>
                <w:szCs w:val="18"/>
              </w:rPr>
            </w:pPr>
            <w:r w:rsidRPr="000A3954">
              <w:rPr>
                <w:rFonts w:ascii="Palatino Linotype" w:eastAsia="Calibri" w:hAnsi="Palatino Linotype"/>
                <w:b/>
                <w:sz w:val="18"/>
                <w:szCs w:val="18"/>
              </w:rPr>
              <w:t>% solar</w:t>
            </w:r>
          </w:p>
        </w:tc>
        <w:tc>
          <w:tcPr>
            <w:tcW w:w="619" w:type="dxa"/>
            <w:tcBorders>
              <w:top w:val="single" w:sz="4" w:space="0" w:color="auto"/>
              <w:bottom w:val="single" w:sz="4" w:space="0" w:color="auto"/>
            </w:tcBorders>
            <w:shd w:val="clear" w:color="auto" w:fill="auto"/>
            <w:vAlign w:val="center"/>
          </w:tcPr>
          <w:p w:rsidR="0075261E" w:rsidRPr="000A3954" w:rsidRDefault="0075261E" w:rsidP="0075261E">
            <w:pPr>
              <w:jc w:val="center"/>
              <w:rPr>
                <w:rFonts w:ascii="Palatino Linotype" w:eastAsia="Calibri" w:hAnsi="Palatino Linotype"/>
                <w:b/>
                <w:sz w:val="18"/>
                <w:szCs w:val="18"/>
              </w:rPr>
            </w:pPr>
            <w:r w:rsidRPr="000A3954">
              <w:rPr>
                <w:rFonts w:ascii="Palatino Linotype" w:eastAsia="Calibri" w:hAnsi="Palatino Linotype"/>
                <w:b/>
                <w:sz w:val="18"/>
                <w:szCs w:val="18"/>
              </w:rPr>
              <w:t>% hydro</w:t>
            </w:r>
          </w:p>
        </w:tc>
        <w:tc>
          <w:tcPr>
            <w:tcW w:w="724" w:type="dxa"/>
            <w:tcBorders>
              <w:top w:val="single" w:sz="4" w:space="0" w:color="auto"/>
              <w:bottom w:val="single" w:sz="4" w:space="0" w:color="auto"/>
            </w:tcBorders>
            <w:shd w:val="clear" w:color="auto" w:fill="auto"/>
            <w:vAlign w:val="center"/>
          </w:tcPr>
          <w:p w:rsidR="0075261E" w:rsidRPr="000A3954" w:rsidRDefault="0075261E" w:rsidP="0075261E">
            <w:pPr>
              <w:jc w:val="center"/>
              <w:rPr>
                <w:rFonts w:ascii="Palatino Linotype" w:eastAsia="Calibri" w:hAnsi="Palatino Linotype"/>
                <w:b/>
                <w:sz w:val="18"/>
                <w:szCs w:val="18"/>
              </w:rPr>
            </w:pPr>
            <w:r w:rsidRPr="000A3954">
              <w:rPr>
                <w:rFonts w:ascii="Palatino Linotype" w:eastAsia="Calibri" w:hAnsi="Palatino Linotype"/>
                <w:b/>
                <w:sz w:val="18"/>
                <w:szCs w:val="18"/>
              </w:rPr>
              <w:t>% nuclear</w:t>
            </w:r>
          </w:p>
        </w:tc>
        <w:tc>
          <w:tcPr>
            <w:tcW w:w="516" w:type="dxa"/>
            <w:tcBorders>
              <w:top w:val="single" w:sz="4" w:space="0" w:color="auto"/>
              <w:bottom w:val="single" w:sz="4" w:space="0" w:color="auto"/>
            </w:tcBorders>
            <w:shd w:val="clear" w:color="auto" w:fill="auto"/>
            <w:vAlign w:val="center"/>
          </w:tcPr>
          <w:p w:rsidR="0075261E" w:rsidRPr="000A3954" w:rsidRDefault="0075261E" w:rsidP="0075261E">
            <w:pPr>
              <w:jc w:val="center"/>
              <w:rPr>
                <w:rFonts w:ascii="Palatino Linotype" w:eastAsia="Calibri" w:hAnsi="Palatino Linotype"/>
                <w:b/>
                <w:sz w:val="18"/>
                <w:szCs w:val="18"/>
              </w:rPr>
            </w:pPr>
            <w:r w:rsidRPr="000A3954">
              <w:rPr>
                <w:rFonts w:ascii="Palatino Linotype" w:eastAsia="Calibri" w:hAnsi="Palatino Linotype"/>
                <w:b/>
                <w:sz w:val="18"/>
                <w:szCs w:val="18"/>
              </w:rPr>
              <w:t>% coal</w:t>
            </w:r>
          </w:p>
        </w:tc>
        <w:tc>
          <w:tcPr>
            <w:tcW w:w="679" w:type="dxa"/>
            <w:tcBorders>
              <w:top w:val="single" w:sz="4" w:space="0" w:color="auto"/>
              <w:bottom w:val="single" w:sz="4" w:space="0" w:color="auto"/>
            </w:tcBorders>
            <w:shd w:val="clear" w:color="auto" w:fill="auto"/>
            <w:vAlign w:val="center"/>
          </w:tcPr>
          <w:p w:rsidR="0075261E" w:rsidRPr="000A3954" w:rsidRDefault="0075261E" w:rsidP="0075261E">
            <w:pPr>
              <w:jc w:val="center"/>
              <w:rPr>
                <w:rFonts w:ascii="Palatino Linotype" w:eastAsia="Calibri" w:hAnsi="Palatino Linotype"/>
                <w:b/>
                <w:sz w:val="18"/>
                <w:szCs w:val="18"/>
              </w:rPr>
            </w:pPr>
            <w:r w:rsidRPr="000A3954">
              <w:rPr>
                <w:rFonts w:ascii="Palatino Linotype" w:eastAsia="Calibri" w:hAnsi="Palatino Linotype"/>
                <w:b/>
                <w:sz w:val="18"/>
                <w:szCs w:val="18"/>
              </w:rPr>
              <w:t>% OCGT</w:t>
            </w:r>
          </w:p>
        </w:tc>
        <w:tc>
          <w:tcPr>
            <w:tcW w:w="671" w:type="dxa"/>
            <w:tcBorders>
              <w:top w:val="single" w:sz="4" w:space="0" w:color="auto"/>
              <w:bottom w:val="single" w:sz="4" w:space="0" w:color="auto"/>
            </w:tcBorders>
            <w:shd w:val="clear" w:color="auto" w:fill="auto"/>
            <w:vAlign w:val="center"/>
          </w:tcPr>
          <w:p w:rsidR="0075261E" w:rsidRPr="000A3954" w:rsidRDefault="0075261E" w:rsidP="0075261E">
            <w:pPr>
              <w:jc w:val="center"/>
              <w:rPr>
                <w:rFonts w:ascii="Palatino Linotype" w:eastAsia="Calibri" w:hAnsi="Palatino Linotype"/>
                <w:b/>
                <w:sz w:val="18"/>
                <w:szCs w:val="18"/>
              </w:rPr>
            </w:pPr>
            <w:r w:rsidRPr="000A3954">
              <w:rPr>
                <w:rFonts w:ascii="Palatino Linotype" w:eastAsia="Calibri" w:hAnsi="Palatino Linotype"/>
                <w:b/>
                <w:sz w:val="18"/>
                <w:szCs w:val="18"/>
              </w:rPr>
              <w:t>% CCGT</w:t>
            </w:r>
          </w:p>
        </w:tc>
      </w:tr>
      <w:tr w:rsidR="0075261E" w:rsidRPr="005B5926" w:rsidTr="000A3954">
        <w:trPr>
          <w:trHeight w:val="283"/>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1</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52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1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724"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516"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7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71"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100</w:t>
            </w:r>
          </w:p>
        </w:tc>
      </w:tr>
      <w:tr w:rsidR="0075261E" w:rsidRPr="005B5926" w:rsidTr="000A3954">
        <w:trPr>
          <w:trHeight w:val="283"/>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52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1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724"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516"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10</w:t>
            </w:r>
          </w:p>
        </w:tc>
        <w:tc>
          <w:tcPr>
            <w:tcW w:w="67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10</w:t>
            </w:r>
          </w:p>
        </w:tc>
        <w:tc>
          <w:tcPr>
            <w:tcW w:w="671"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80</w:t>
            </w:r>
          </w:p>
        </w:tc>
      </w:tr>
      <w:tr w:rsidR="0075261E" w:rsidRPr="005B5926" w:rsidTr="000A3954">
        <w:trPr>
          <w:trHeight w:val="283"/>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3</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52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1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724"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516"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20</w:t>
            </w:r>
          </w:p>
        </w:tc>
        <w:tc>
          <w:tcPr>
            <w:tcW w:w="67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20</w:t>
            </w:r>
          </w:p>
        </w:tc>
        <w:tc>
          <w:tcPr>
            <w:tcW w:w="671"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60</w:t>
            </w:r>
          </w:p>
        </w:tc>
      </w:tr>
      <w:tr w:rsidR="0075261E" w:rsidRPr="005B5926" w:rsidTr="000A3954">
        <w:trPr>
          <w:trHeight w:val="283"/>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4</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52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1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724"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10</w:t>
            </w:r>
          </w:p>
        </w:tc>
        <w:tc>
          <w:tcPr>
            <w:tcW w:w="516"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30</w:t>
            </w:r>
          </w:p>
        </w:tc>
        <w:tc>
          <w:tcPr>
            <w:tcW w:w="67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30</w:t>
            </w:r>
          </w:p>
        </w:tc>
        <w:tc>
          <w:tcPr>
            <w:tcW w:w="671"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30</w:t>
            </w:r>
          </w:p>
        </w:tc>
      </w:tr>
      <w:tr w:rsidR="0075261E" w:rsidRPr="005B5926" w:rsidTr="000A3954">
        <w:trPr>
          <w:trHeight w:val="283"/>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5</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52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1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724"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25</w:t>
            </w:r>
          </w:p>
        </w:tc>
        <w:tc>
          <w:tcPr>
            <w:tcW w:w="516"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25</w:t>
            </w:r>
          </w:p>
        </w:tc>
        <w:tc>
          <w:tcPr>
            <w:tcW w:w="67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25</w:t>
            </w:r>
          </w:p>
        </w:tc>
        <w:tc>
          <w:tcPr>
            <w:tcW w:w="671"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25</w:t>
            </w:r>
          </w:p>
        </w:tc>
      </w:tr>
      <w:tr w:rsidR="0075261E" w:rsidRPr="005B5926" w:rsidTr="000A3954">
        <w:trPr>
          <w:trHeight w:val="283"/>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6</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5</w:t>
            </w:r>
          </w:p>
        </w:tc>
        <w:tc>
          <w:tcPr>
            <w:tcW w:w="52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5</w:t>
            </w:r>
          </w:p>
        </w:tc>
        <w:tc>
          <w:tcPr>
            <w:tcW w:w="61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5</w:t>
            </w:r>
          </w:p>
        </w:tc>
        <w:tc>
          <w:tcPr>
            <w:tcW w:w="724"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25</w:t>
            </w:r>
          </w:p>
        </w:tc>
        <w:tc>
          <w:tcPr>
            <w:tcW w:w="516"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20</w:t>
            </w:r>
          </w:p>
        </w:tc>
        <w:tc>
          <w:tcPr>
            <w:tcW w:w="679"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20</w:t>
            </w:r>
          </w:p>
        </w:tc>
        <w:tc>
          <w:tcPr>
            <w:tcW w:w="671" w:type="dxa"/>
            <w:tcBorders>
              <w:top w:val="single" w:sz="4" w:space="0" w:color="auto"/>
              <w:bottom w:val="single" w:sz="4" w:space="0" w:color="auto"/>
            </w:tcBorders>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20</w:t>
            </w:r>
          </w:p>
        </w:tc>
      </w:tr>
      <w:tr w:rsidR="0075261E" w:rsidRPr="005B5926" w:rsidTr="000A3954">
        <w:trPr>
          <w:trHeight w:val="283"/>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7</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10</w:t>
            </w:r>
          </w:p>
        </w:tc>
        <w:tc>
          <w:tcPr>
            <w:tcW w:w="52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10</w:t>
            </w:r>
          </w:p>
        </w:tc>
        <w:tc>
          <w:tcPr>
            <w:tcW w:w="61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10</w:t>
            </w:r>
          </w:p>
        </w:tc>
        <w:tc>
          <w:tcPr>
            <w:tcW w:w="724"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40</w:t>
            </w:r>
          </w:p>
        </w:tc>
        <w:tc>
          <w:tcPr>
            <w:tcW w:w="516"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10</w:t>
            </w:r>
          </w:p>
        </w:tc>
        <w:tc>
          <w:tcPr>
            <w:tcW w:w="67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10</w:t>
            </w:r>
          </w:p>
        </w:tc>
        <w:tc>
          <w:tcPr>
            <w:tcW w:w="671"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10</w:t>
            </w:r>
          </w:p>
        </w:tc>
      </w:tr>
      <w:tr w:rsidR="0075261E" w:rsidRPr="005B5926" w:rsidTr="000A3954">
        <w:trPr>
          <w:trHeight w:val="283"/>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8</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25</w:t>
            </w:r>
          </w:p>
        </w:tc>
        <w:tc>
          <w:tcPr>
            <w:tcW w:w="52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25</w:t>
            </w:r>
          </w:p>
        </w:tc>
        <w:tc>
          <w:tcPr>
            <w:tcW w:w="61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25</w:t>
            </w:r>
          </w:p>
        </w:tc>
        <w:tc>
          <w:tcPr>
            <w:tcW w:w="724"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25</w:t>
            </w:r>
          </w:p>
        </w:tc>
        <w:tc>
          <w:tcPr>
            <w:tcW w:w="516"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7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71"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w:t>
            </w:r>
          </w:p>
        </w:tc>
      </w:tr>
      <w:tr w:rsidR="0075261E" w:rsidRPr="005B5926" w:rsidTr="000A3954">
        <w:trPr>
          <w:trHeight w:val="283"/>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9</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30</w:t>
            </w:r>
          </w:p>
        </w:tc>
        <w:tc>
          <w:tcPr>
            <w:tcW w:w="52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30</w:t>
            </w:r>
          </w:p>
        </w:tc>
        <w:tc>
          <w:tcPr>
            <w:tcW w:w="61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30</w:t>
            </w:r>
          </w:p>
        </w:tc>
        <w:tc>
          <w:tcPr>
            <w:tcW w:w="724"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10</w:t>
            </w:r>
          </w:p>
        </w:tc>
        <w:tc>
          <w:tcPr>
            <w:tcW w:w="516"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7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71"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w:t>
            </w:r>
          </w:p>
        </w:tc>
      </w:tr>
      <w:tr w:rsidR="0075261E" w:rsidRPr="005B5926" w:rsidTr="000A3954">
        <w:trPr>
          <w:trHeight w:val="283"/>
          <w:jc w:val="center"/>
        </w:trPr>
        <w:tc>
          <w:tcPr>
            <w:tcW w:w="775" w:type="dxa"/>
            <w:tcBorders>
              <w:top w:val="single" w:sz="4" w:space="0" w:color="auto"/>
              <w:bottom w:val="single" w:sz="4" w:space="0" w:color="auto"/>
              <w:right w:val="single" w:sz="4" w:space="0" w:color="auto"/>
            </w:tcBorders>
            <w:shd w:val="clear" w:color="auto" w:fill="auto"/>
            <w:tcMar>
              <w:left w:w="108" w:type="dxa"/>
            </w:tcMar>
            <w:vAlign w:val="center"/>
          </w:tcPr>
          <w:p w:rsidR="0075261E" w:rsidRPr="000A3954" w:rsidRDefault="0075261E" w:rsidP="0075261E">
            <w:pPr>
              <w:jc w:val="center"/>
              <w:rPr>
                <w:rFonts w:ascii="Palatino Linotype" w:eastAsia="Calibri" w:hAnsi="Palatino Linotype"/>
                <w:sz w:val="18"/>
                <w:szCs w:val="18"/>
              </w:rPr>
            </w:pPr>
            <w:r w:rsidRPr="000A3954">
              <w:rPr>
                <w:rFonts w:ascii="Palatino Linotype" w:eastAsia="Calibri" w:hAnsi="Palatino Linotype"/>
                <w:sz w:val="18"/>
                <w:szCs w:val="18"/>
              </w:rPr>
              <w:t>10</w:t>
            </w:r>
          </w:p>
        </w:tc>
        <w:tc>
          <w:tcPr>
            <w:tcW w:w="559" w:type="dxa"/>
            <w:tcBorders>
              <w:top w:val="single" w:sz="4" w:space="0" w:color="auto"/>
              <w:left w:val="single" w:sz="4" w:space="0" w:color="auto"/>
              <w:bottom w:val="single" w:sz="4" w:space="0" w:color="auto"/>
            </w:tcBorders>
            <w:shd w:val="clear" w:color="auto" w:fill="auto"/>
            <w:tcMar>
              <w:left w:w="108" w:type="dxa"/>
            </w:tcMar>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33.4</w:t>
            </w:r>
          </w:p>
        </w:tc>
        <w:tc>
          <w:tcPr>
            <w:tcW w:w="52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33.3</w:t>
            </w:r>
          </w:p>
        </w:tc>
        <w:tc>
          <w:tcPr>
            <w:tcW w:w="61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33.3</w:t>
            </w:r>
          </w:p>
        </w:tc>
        <w:tc>
          <w:tcPr>
            <w:tcW w:w="724"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516"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79"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w:t>
            </w:r>
          </w:p>
        </w:tc>
        <w:tc>
          <w:tcPr>
            <w:tcW w:w="671" w:type="dxa"/>
            <w:tcBorders>
              <w:top w:val="single" w:sz="4" w:space="0" w:color="auto"/>
              <w:bottom w:val="single" w:sz="4" w:space="0" w:color="auto"/>
            </w:tcBorders>
            <w:vAlign w:val="center"/>
          </w:tcPr>
          <w:p w:rsidR="0075261E" w:rsidRPr="000A3954" w:rsidRDefault="0075261E" w:rsidP="0075261E">
            <w:pPr>
              <w:keepNext/>
              <w:jc w:val="center"/>
              <w:rPr>
                <w:rFonts w:ascii="Palatino Linotype" w:eastAsia="Calibri" w:hAnsi="Palatino Linotype"/>
                <w:sz w:val="18"/>
                <w:szCs w:val="18"/>
              </w:rPr>
            </w:pPr>
            <w:r w:rsidRPr="000A3954">
              <w:rPr>
                <w:rFonts w:ascii="Palatino Linotype" w:eastAsia="Calibri" w:hAnsi="Palatino Linotype"/>
                <w:sz w:val="18"/>
                <w:szCs w:val="18"/>
              </w:rPr>
              <w:t>-</w:t>
            </w:r>
          </w:p>
        </w:tc>
      </w:tr>
    </w:tbl>
    <w:p w:rsidR="000A3954" w:rsidRDefault="000A3954" w:rsidP="000A3954">
      <w:pPr>
        <w:pStyle w:val="MDPI33textspaceafter"/>
      </w:pPr>
    </w:p>
    <w:p w:rsidR="0075261E" w:rsidRPr="005B5926" w:rsidRDefault="0075261E" w:rsidP="000A3954">
      <w:pPr>
        <w:pStyle w:val="MDPI33textspaceafter"/>
      </w:pPr>
      <w:r w:rsidRPr="001970B2">
        <w:fldChar w:fldCharType="begin"/>
      </w:r>
      <w:r w:rsidRPr="001970B2">
        <w:instrText xml:space="preserve"> REF _Ref505006485 \h </w:instrText>
      </w:r>
      <w:r w:rsidR="000A3954">
        <w:instrText xml:space="preserve"> \* MERGEFORMAT </w:instrText>
      </w:r>
      <w:r w:rsidRPr="001970B2">
        <w:fldChar w:fldCharType="separate"/>
      </w:r>
      <w:r w:rsidR="00822D91" w:rsidRPr="001970B2">
        <w:t xml:space="preserve">Fig. </w:t>
      </w:r>
      <w:r w:rsidR="00822D91">
        <w:t>2</w:t>
      </w:r>
      <w:r w:rsidRPr="001970B2">
        <w:fldChar w:fldCharType="end"/>
      </w:r>
      <w:r>
        <w:t xml:space="preserve"> </w:t>
      </w:r>
      <w:r w:rsidRPr="001970B2">
        <w:t>shows the distribution of the operating costs obtained for the 10 differ</w:t>
      </w:r>
      <w:r>
        <w:t>ent power systems established in</w:t>
      </w:r>
      <w:r w:rsidRPr="001970B2">
        <w:t xml:space="preserve"> </w:t>
      </w:r>
      <w:r w:rsidRPr="001970B2">
        <w:fldChar w:fldCharType="begin"/>
      </w:r>
      <w:r w:rsidRPr="001970B2">
        <w:instrText xml:space="preserve"> REF _Ref504995306 \h </w:instrText>
      </w:r>
      <w:r w:rsidR="000A3954">
        <w:instrText xml:space="preserve"> \* MERGEFORMAT </w:instrText>
      </w:r>
      <w:r w:rsidRPr="001970B2">
        <w:fldChar w:fldCharType="separate"/>
      </w:r>
      <w:r w:rsidR="00822D91" w:rsidRPr="001970B2">
        <w:t xml:space="preserve">Table </w:t>
      </w:r>
      <w:r w:rsidR="00822D91">
        <w:t>4</w:t>
      </w:r>
      <w:r w:rsidRPr="001970B2">
        <w:fldChar w:fldCharType="end"/>
      </w:r>
      <w:r w:rsidRPr="001970B2">
        <w:t>. As production costs decrease –going towards a cheaper renewable-only system - operating cost follows in an almost exponential decrease.</w:t>
      </w:r>
      <w:r w:rsidRPr="005B5926">
        <w:t xml:space="preserve">However, </w:t>
      </w:r>
      <w:r w:rsidRPr="00C43A3B">
        <w:t xml:space="preserve">investment costs decrease </w:t>
      </w:r>
      <w:r>
        <w:t>more slowly,</w:t>
      </w:r>
      <w:r w:rsidRPr="00C43A3B">
        <w:t xml:space="preserve"> as depicted in </w:t>
      </w:r>
      <w:r w:rsidRPr="00C33D31">
        <w:fldChar w:fldCharType="begin"/>
      </w:r>
      <w:r w:rsidRPr="005B5926">
        <w:instrText xml:space="preserve"> REF _Ref505007576 \h </w:instrText>
      </w:r>
      <w:r w:rsidR="000A3954">
        <w:instrText xml:space="preserve"> \* MERGEFORMAT </w:instrText>
      </w:r>
      <w:r w:rsidRPr="00C33D31">
        <w:fldChar w:fldCharType="separate"/>
      </w:r>
      <w:r w:rsidR="00822D91" w:rsidRPr="001970B2">
        <w:t xml:space="preserve">Fig. </w:t>
      </w:r>
      <w:r w:rsidR="00822D91">
        <w:t>3</w:t>
      </w:r>
      <w:r w:rsidRPr="00C33D31">
        <w:fldChar w:fldCharType="end"/>
      </w:r>
      <w:r w:rsidRPr="005B5926">
        <w:t>. This is due to the fact that, even though the type of generation technology changes, the total amount of required MW demand d</w:t>
      </w:r>
      <w:r>
        <w:t>oes not;</w:t>
      </w:r>
      <w:r w:rsidRPr="005B5926">
        <w:t xml:space="preserve"> the same amount of power needs to be distributed within the network. The same applies to </w:t>
      </w:r>
      <w:r>
        <w:t>PNS</w:t>
      </w:r>
      <w:r w:rsidRPr="005B5926">
        <w:t xml:space="preserve">, which remains stable through the different scenarios as observed in </w:t>
      </w:r>
      <w:r w:rsidRPr="00C33D31">
        <w:fldChar w:fldCharType="begin"/>
      </w:r>
      <w:r w:rsidRPr="005B5926">
        <w:instrText xml:space="preserve"> REF _Ref505007914 \h </w:instrText>
      </w:r>
      <w:r w:rsidR="000A3954">
        <w:instrText xml:space="preserve"> \* MERGEFORMAT </w:instrText>
      </w:r>
      <w:r w:rsidRPr="00C33D31">
        <w:fldChar w:fldCharType="separate"/>
      </w:r>
      <w:r w:rsidR="00822D91" w:rsidRPr="001970B2">
        <w:t xml:space="preserve">Fig. </w:t>
      </w:r>
      <w:r w:rsidR="00822D91">
        <w:t>4</w:t>
      </w:r>
      <w:r w:rsidRPr="00C33D31">
        <w:fldChar w:fldCharType="end"/>
      </w:r>
      <w:r w:rsidRPr="005B5926">
        <w:t>.</w:t>
      </w:r>
    </w:p>
    <w:p w:rsidR="0075261E" w:rsidRPr="001970B2" w:rsidRDefault="0075261E" w:rsidP="0075261E">
      <w:pPr>
        <w:pStyle w:val="Els-body-text"/>
        <w:ind w:right="-28"/>
      </w:pPr>
    </w:p>
    <w:p w:rsidR="0075261E" w:rsidRPr="005B5926" w:rsidRDefault="00B12363" w:rsidP="000A3954">
      <w:pPr>
        <w:pStyle w:val="Els-body-text"/>
        <w:keepNext/>
        <w:keepLines/>
        <w:spacing w:line="240" w:lineRule="auto"/>
        <w:ind w:right="-29" w:firstLine="245"/>
        <w:jc w:val="left"/>
      </w:pPr>
      <w:r w:rsidRPr="0075261E">
        <w:rPr>
          <w:noProof/>
        </w:rPr>
        <w:lastRenderedPageBreak/>
        <w:drawing>
          <wp:inline distT="0" distB="0" distL="0" distR="0">
            <wp:extent cx="3432175" cy="1781175"/>
            <wp:effectExtent l="0" t="0" r="0" b="0"/>
            <wp:docPr id="19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t="9164"/>
                    <a:stretch>
                      <a:fillRect/>
                    </a:stretch>
                  </pic:blipFill>
                  <pic:spPr bwMode="auto">
                    <a:xfrm>
                      <a:off x="0" y="0"/>
                      <a:ext cx="3432175" cy="1781175"/>
                    </a:xfrm>
                    <a:prstGeom prst="rect">
                      <a:avLst/>
                    </a:prstGeom>
                    <a:noFill/>
                    <a:ln>
                      <a:noFill/>
                    </a:ln>
                  </pic:spPr>
                </pic:pic>
              </a:graphicData>
            </a:graphic>
          </wp:inline>
        </w:drawing>
      </w:r>
    </w:p>
    <w:p w:rsidR="0075261E" w:rsidRPr="000A3954" w:rsidRDefault="0075261E" w:rsidP="0075261E">
      <w:pPr>
        <w:pStyle w:val="Descripcin"/>
        <w:keepNext/>
        <w:rPr>
          <w:rFonts w:ascii="Palatino Linotype" w:eastAsia="Times New Roman" w:hAnsi="Palatino Linotype"/>
          <w:b/>
          <w:color w:val="000000"/>
          <w:sz w:val="18"/>
          <w:lang w:val="en-US" w:eastAsia="de-DE" w:bidi="en-US"/>
        </w:rPr>
      </w:pPr>
      <w:bookmarkStart w:id="12" w:name="_Ref505006485"/>
      <w:r w:rsidRPr="000A3954">
        <w:rPr>
          <w:rFonts w:ascii="Palatino Linotype" w:eastAsia="Times New Roman" w:hAnsi="Palatino Linotype"/>
          <w:b/>
          <w:color w:val="000000"/>
          <w:sz w:val="18"/>
          <w:lang w:val="en-US" w:eastAsia="de-DE" w:bidi="en-US"/>
        </w:rPr>
        <w:t xml:space="preserve">Fig. </w:t>
      </w:r>
      <w:r w:rsidRPr="000A3954">
        <w:rPr>
          <w:rFonts w:ascii="Palatino Linotype" w:eastAsia="Times New Roman" w:hAnsi="Palatino Linotype"/>
          <w:b/>
          <w:color w:val="000000"/>
          <w:sz w:val="18"/>
          <w:lang w:val="en-US" w:eastAsia="de-DE" w:bidi="en-US"/>
        </w:rPr>
        <w:fldChar w:fldCharType="begin"/>
      </w:r>
      <w:r w:rsidRPr="000A3954">
        <w:rPr>
          <w:rFonts w:ascii="Palatino Linotype" w:eastAsia="Times New Roman" w:hAnsi="Palatino Linotype"/>
          <w:b/>
          <w:color w:val="000000"/>
          <w:sz w:val="18"/>
          <w:lang w:val="en-US" w:eastAsia="de-DE" w:bidi="en-US"/>
        </w:rPr>
        <w:instrText xml:space="preserve"> SEQ Fig. \* ARABIC </w:instrText>
      </w:r>
      <w:r w:rsidRPr="000A3954">
        <w:rPr>
          <w:rFonts w:ascii="Palatino Linotype" w:eastAsia="Times New Roman" w:hAnsi="Palatino Linotype"/>
          <w:b/>
          <w:color w:val="000000"/>
          <w:sz w:val="18"/>
          <w:lang w:val="en-US" w:eastAsia="de-DE" w:bidi="en-US"/>
        </w:rPr>
        <w:fldChar w:fldCharType="separate"/>
      </w:r>
      <w:r w:rsidR="00822D91" w:rsidRPr="000A3954">
        <w:rPr>
          <w:rFonts w:ascii="Palatino Linotype" w:eastAsia="Times New Roman" w:hAnsi="Palatino Linotype"/>
          <w:b/>
          <w:color w:val="000000"/>
          <w:sz w:val="18"/>
          <w:lang w:val="en-US" w:eastAsia="de-DE" w:bidi="en-US"/>
        </w:rPr>
        <w:t>2</w:t>
      </w:r>
      <w:r w:rsidRPr="000A3954">
        <w:rPr>
          <w:rFonts w:ascii="Palatino Linotype" w:eastAsia="Times New Roman" w:hAnsi="Palatino Linotype"/>
          <w:b/>
          <w:color w:val="000000"/>
          <w:sz w:val="18"/>
          <w:lang w:val="en-US" w:eastAsia="de-DE" w:bidi="en-US"/>
        </w:rPr>
        <w:fldChar w:fldCharType="end"/>
      </w:r>
      <w:bookmarkEnd w:id="12"/>
      <w:r w:rsidRPr="000A3954">
        <w:rPr>
          <w:rFonts w:ascii="Palatino Linotype" w:eastAsia="Times New Roman" w:hAnsi="Palatino Linotype"/>
          <w:b/>
          <w:color w:val="000000"/>
          <w:sz w:val="18"/>
          <w:lang w:val="en-US" w:eastAsia="de-DE" w:bidi="en-US"/>
        </w:rPr>
        <w:t>.</w:t>
      </w:r>
      <w:r w:rsidRPr="000A3954">
        <w:rPr>
          <w:rFonts w:ascii="Palatino Linotype" w:eastAsia="Times New Roman" w:hAnsi="Palatino Linotype"/>
          <w:color w:val="000000"/>
          <w:sz w:val="18"/>
          <w:lang w:val="en-US" w:eastAsia="de-DE" w:bidi="en-US"/>
        </w:rPr>
        <w:t xml:space="preserve"> Operating costs (€) for each scenario</w:t>
      </w:r>
    </w:p>
    <w:p w:rsidR="0075261E" w:rsidRPr="001970B2" w:rsidRDefault="0075261E" w:rsidP="0075261E">
      <w:pPr>
        <w:pStyle w:val="Els-body-text"/>
        <w:ind w:right="-28"/>
      </w:pPr>
    </w:p>
    <w:p w:rsidR="0075261E" w:rsidRPr="005B5926" w:rsidRDefault="00B12363" w:rsidP="000A3954">
      <w:pPr>
        <w:pStyle w:val="Els-body-text"/>
        <w:keepNext/>
        <w:keepLines/>
        <w:spacing w:line="240" w:lineRule="auto"/>
        <w:ind w:right="-29" w:firstLine="245"/>
      </w:pPr>
      <w:r w:rsidRPr="0075261E">
        <w:rPr>
          <w:noProof/>
        </w:rPr>
        <w:drawing>
          <wp:inline distT="0" distB="0" distL="0" distR="0">
            <wp:extent cx="3602990" cy="1876425"/>
            <wp:effectExtent l="0" t="0" r="0" b="0"/>
            <wp:docPr id="19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t="9933"/>
                    <a:stretch>
                      <a:fillRect/>
                    </a:stretch>
                  </pic:blipFill>
                  <pic:spPr bwMode="auto">
                    <a:xfrm>
                      <a:off x="0" y="0"/>
                      <a:ext cx="3602990" cy="1876425"/>
                    </a:xfrm>
                    <a:prstGeom prst="rect">
                      <a:avLst/>
                    </a:prstGeom>
                    <a:noFill/>
                    <a:ln>
                      <a:noFill/>
                    </a:ln>
                  </pic:spPr>
                </pic:pic>
              </a:graphicData>
            </a:graphic>
          </wp:inline>
        </w:drawing>
      </w:r>
    </w:p>
    <w:p w:rsidR="0075261E" w:rsidRPr="000A3954" w:rsidRDefault="0075261E" w:rsidP="0075261E">
      <w:pPr>
        <w:pStyle w:val="Descripcin"/>
        <w:keepNext/>
        <w:rPr>
          <w:rFonts w:ascii="Palatino Linotype" w:eastAsia="Times New Roman" w:hAnsi="Palatino Linotype"/>
          <w:color w:val="000000"/>
          <w:sz w:val="18"/>
          <w:lang w:val="en-US" w:eastAsia="de-DE" w:bidi="en-US"/>
        </w:rPr>
      </w:pPr>
      <w:bookmarkStart w:id="13" w:name="_Ref505007576"/>
      <w:r w:rsidRPr="000A3954">
        <w:rPr>
          <w:rFonts w:ascii="Palatino Linotype" w:eastAsia="Times New Roman" w:hAnsi="Palatino Linotype"/>
          <w:b/>
          <w:color w:val="000000"/>
          <w:sz w:val="18"/>
          <w:lang w:val="en-US" w:eastAsia="de-DE" w:bidi="en-US"/>
        </w:rPr>
        <w:t xml:space="preserve">Fig. </w:t>
      </w:r>
      <w:r w:rsidRPr="000A3954">
        <w:rPr>
          <w:rFonts w:ascii="Palatino Linotype" w:eastAsia="Times New Roman" w:hAnsi="Palatino Linotype"/>
          <w:b/>
          <w:color w:val="000000"/>
          <w:sz w:val="18"/>
          <w:lang w:val="en-US" w:eastAsia="de-DE" w:bidi="en-US"/>
        </w:rPr>
        <w:fldChar w:fldCharType="begin"/>
      </w:r>
      <w:r w:rsidRPr="000A3954">
        <w:rPr>
          <w:rFonts w:ascii="Palatino Linotype" w:eastAsia="Times New Roman" w:hAnsi="Palatino Linotype"/>
          <w:b/>
          <w:color w:val="000000"/>
          <w:sz w:val="18"/>
          <w:lang w:val="en-US" w:eastAsia="de-DE" w:bidi="en-US"/>
        </w:rPr>
        <w:instrText xml:space="preserve"> SEQ Fig. \* ARABIC </w:instrText>
      </w:r>
      <w:r w:rsidRPr="000A3954">
        <w:rPr>
          <w:rFonts w:ascii="Palatino Linotype" w:eastAsia="Times New Roman" w:hAnsi="Palatino Linotype"/>
          <w:b/>
          <w:color w:val="000000"/>
          <w:sz w:val="18"/>
          <w:lang w:val="en-US" w:eastAsia="de-DE" w:bidi="en-US"/>
        </w:rPr>
        <w:fldChar w:fldCharType="separate"/>
      </w:r>
      <w:r w:rsidR="00822D91" w:rsidRPr="000A3954">
        <w:rPr>
          <w:rFonts w:ascii="Palatino Linotype" w:eastAsia="Times New Roman" w:hAnsi="Palatino Linotype"/>
          <w:b/>
          <w:color w:val="000000"/>
          <w:sz w:val="18"/>
          <w:lang w:val="en-US" w:eastAsia="de-DE" w:bidi="en-US"/>
        </w:rPr>
        <w:t>3</w:t>
      </w:r>
      <w:r w:rsidRPr="000A3954">
        <w:rPr>
          <w:rFonts w:ascii="Palatino Linotype" w:eastAsia="Times New Roman" w:hAnsi="Palatino Linotype"/>
          <w:b/>
          <w:color w:val="000000"/>
          <w:sz w:val="18"/>
          <w:lang w:val="en-US" w:eastAsia="de-DE" w:bidi="en-US"/>
        </w:rPr>
        <w:fldChar w:fldCharType="end"/>
      </w:r>
      <w:bookmarkEnd w:id="13"/>
      <w:r w:rsidRPr="000A3954">
        <w:rPr>
          <w:rFonts w:ascii="Palatino Linotype" w:eastAsia="Times New Roman" w:hAnsi="Palatino Linotype"/>
          <w:b/>
          <w:color w:val="000000"/>
          <w:sz w:val="18"/>
          <w:lang w:val="en-US" w:eastAsia="de-DE" w:bidi="en-US"/>
        </w:rPr>
        <w:t>.</w:t>
      </w:r>
      <w:r w:rsidRPr="000A3954">
        <w:rPr>
          <w:rFonts w:ascii="Palatino Linotype" w:eastAsia="Times New Roman" w:hAnsi="Palatino Linotype"/>
          <w:color w:val="000000"/>
          <w:sz w:val="18"/>
          <w:lang w:val="en-US" w:eastAsia="de-DE" w:bidi="en-US"/>
        </w:rPr>
        <w:t xml:space="preserve"> Investment costs (€) for each scenario</w:t>
      </w:r>
    </w:p>
    <w:p w:rsidR="0075261E" w:rsidRPr="005B5926" w:rsidRDefault="0075261E" w:rsidP="0075261E">
      <w:pPr>
        <w:pStyle w:val="Els-body-text"/>
        <w:ind w:right="-28"/>
      </w:pPr>
    </w:p>
    <w:p w:rsidR="0075261E" w:rsidRPr="001970B2" w:rsidRDefault="00B12363" w:rsidP="0075261E">
      <w:pPr>
        <w:keepNext/>
        <w:keepLines/>
      </w:pPr>
      <w:r w:rsidRPr="0075261E">
        <w:rPr>
          <w:noProof/>
          <w:lang w:eastAsia="en-US"/>
        </w:rPr>
        <w:drawing>
          <wp:inline distT="0" distB="0" distL="0" distR="0">
            <wp:extent cx="3384550" cy="1753870"/>
            <wp:effectExtent l="0" t="0" r="0" b="0"/>
            <wp:docPr id="18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t="9969"/>
                    <a:stretch>
                      <a:fillRect/>
                    </a:stretch>
                  </pic:blipFill>
                  <pic:spPr bwMode="auto">
                    <a:xfrm>
                      <a:off x="0" y="0"/>
                      <a:ext cx="3384550" cy="1753870"/>
                    </a:xfrm>
                    <a:prstGeom prst="rect">
                      <a:avLst/>
                    </a:prstGeom>
                    <a:noFill/>
                    <a:ln>
                      <a:noFill/>
                    </a:ln>
                  </pic:spPr>
                </pic:pic>
              </a:graphicData>
            </a:graphic>
          </wp:inline>
        </w:drawing>
      </w:r>
    </w:p>
    <w:p w:rsidR="0075261E" w:rsidRPr="000A3954" w:rsidRDefault="0075261E" w:rsidP="0075261E">
      <w:pPr>
        <w:pStyle w:val="Descripcin"/>
        <w:keepNext/>
        <w:rPr>
          <w:rFonts w:ascii="Palatino Linotype" w:eastAsia="Times New Roman" w:hAnsi="Palatino Linotype"/>
          <w:b/>
          <w:color w:val="000000"/>
          <w:sz w:val="18"/>
          <w:lang w:val="en-US" w:eastAsia="de-DE" w:bidi="en-US"/>
        </w:rPr>
      </w:pPr>
      <w:bookmarkStart w:id="14" w:name="_Ref505007914"/>
      <w:r w:rsidRPr="000A3954">
        <w:rPr>
          <w:rFonts w:ascii="Palatino Linotype" w:eastAsia="Times New Roman" w:hAnsi="Palatino Linotype"/>
          <w:b/>
          <w:color w:val="000000"/>
          <w:sz w:val="18"/>
          <w:lang w:val="en-US" w:eastAsia="de-DE" w:bidi="en-US"/>
        </w:rPr>
        <w:t xml:space="preserve">Fig. </w:t>
      </w:r>
      <w:r w:rsidRPr="000A3954">
        <w:rPr>
          <w:rFonts w:ascii="Palatino Linotype" w:eastAsia="Times New Roman" w:hAnsi="Palatino Linotype"/>
          <w:b/>
          <w:color w:val="000000"/>
          <w:sz w:val="18"/>
          <w:lang w:val="en-US" w:eastAsia="de-DE" w:bidi="en-US"/>
        </w:rPr>
        <w:fldChar w:fldCharType="begin"/>
      </w:r>
      <w:r w:rsidRPr="000A3954">
        <w:rPr>
          <w:rFonts w:ascii="Palatino Linotype" w:eastAsia="Times New Roman" w:hAnsi="Palatino Linotype"/>
          <w:b/>
          <w:color w:val="000000"/>
          <w:sz w:val="18"/>
          <w:lang w:val="en-US" w:eastAsia="de-DE" w:bidi="en-US"/>
        </w:rPr>
        <w:instrText xml:space="preserve"> SEQ Fig. \* ARABIC </w:instrText>
      </w:r>
      <w:r w:rsidRPr="000A3954">
        <w:rPr>
          <w:rFonts w:ascii="Palatino Linotype" w:eastAsia="Times New Roman" w:hAnsi="Palatino Linotype"/>
          <w:b/>
          <w:color w:val="000000"/>
          <w:sz w:val="18"/>
          <w:lang w:val="en-US" w:eastAsia="de-DE" w:bidi="en-US"/>
        </w:rPr>
        <w:fldChar w:fldCharType="separate"/>
      </w:r>
      <w:r w:rsidR="00822D91" w:rsidRPr="000A3954">
        <w:rPr>
          <w:rFonts w:ascii="Palatino Linotype" w:eastAsia="Times New Roman" w:hAnsi="Palatino Linotype"/>
          <w:b/>
          <w:color w:val="000000"/>
          <w:sz w:val="18"/>
          <w:lang w:val="en-US" w:eastAsia="de-DE" w:bidi="en-US"/>
        </w:rPr>
        <w:t>4</w:t>
      </w:r>
      <w:r w:rsidRPr="000A3954">
        <w:rPr>
          <w:rFonts w:ascii="Palatino Linotype" w:eastAsia="Times New Roman" w:hAnsi="Palatino Linotype"/>
          <w:b/>
          <w:color w:val="000000"/>
          <w:sz w:val="18"/>
          <w:lang w:val="en-US" w:eastAsia="de-DE" w:bidi="en-US"/>
        </w:rPr>
        <w:fldChar w:fldCharType="end"/>
      </w:r>
      <w:bookmarkEnd w:id="14"/>
      <w:r w:rsidRPr="000A3954">
        <w:rPr>
          <w:rFonts w:ascii="Palatino Linotype" w:eastAsia="Times New Roman" w:hAnsi="Palatino Linotype"/>
          <w:b/>
          <w:color w:val="000000"/>
          <w:sz w:val="18"/>
          <w:lang w:val="en-US" w:eastAsia="de-DE" w:bidi="en-US"/>
        </w:rPr>
        <w:t xml:space="preserve">. </w:t>
      </w:r>
      <w:r w:rsidRPr="000A3954">
        <w:rPr>
          <w:rFonts w:ascii="Palatino Linotype" w:eastAsia="Times New Roman" w:hAnsi="Palatino Linotype"/>
          <w:color w:val="000000"/>
          <w:sz w:val="18"/>
          <w:lang w:val="en-US" w:eastAsia="de-DE" w:bidi="en-US"/>
        </w:rPr>
        <w:t>Non-served power (MW) for each scenario</w:t>
      </w:r>
    </w:p>
    <w:p w:rsidR="0075261E" w:rsidRPr="00F4435F" w:rsidRDefault="0075261E" w:rsidP="00473D7D">
      <w:pPr>
        <w:pStyle w:val="MDPI22heading2"/>
        <w:numPr>
          <w:ilvl w:val="2"/>
          <w:numId w:val="12"/>
        </w:numPr>
        <w:ind w:left="0" w:firstLine="0"/>
      </w:pPr>
      <w:r w:rsidRPr="005B5926">
        <w:t>Impact of cable investment cost and PNS penalty</w:t>
      </w:r>
    </w:p>
    <w:p w:rsidR="0075261E" w:rsidRPr="000A3954" w:rsidRDefault="0075261E" w:rsidP="000A3954">
      <w:pPr>
        <w:pStyle w:val="MDPI33textspaceafter"/>
      </w:pPr>
      <w:r w:rsidRPr="000A3954">
        <w:t xml:space="preserve">Following our base case with the Spanish energy mix of 2015 and a PNS penalty of 1,000€/MW, we explore the impact of varying the cable investment costs from 50,000€/km to 950,000€/km in steps of 100,000€/km (10 scenarios in total). In our results we observe that increasing cable investment costs naturally leads to an increase (among the 10 </w:t>
      </w:r>
      <w:r w:rsidRPr="000A3954">
        <w:lastRenderedPageBreak/>
        <w:t xml:space="preserve">different scenarios) of investment costs obtained by the ABM. However, it is interesting to observe that the linear increase in cost parameters leads to an exponential increase in system operating costs, as depicted by </w:t>
      </w:r>
      <w:r w:rsidRPr="000A3954">
        <w:fldChar w:fldCharType="begin"/>
      </w:r>
      <w:r w:rsidRPr="000A3954">
        <w:instrText xml:space="preserve"> REF _Ref505008620 \h </w:instrText>
      </w:r>
      <w:r w:rsidR="000A3954">
        <w:instrText xml:space="preserve"> \* MERGEFORMAT </w:instrText>
      </w:r>
      <w:r w:rsidRPr="000A3954">
        <w:fldChar w:fldCharType="separate"/>
      </w:r>
      <w:r w:rsidR="00822D91" w:rsidRPr="000A3954">
        <w:t>Fig. 5</w:t>
      </w:r>
      <w:r w:rsidRPr="000A3954">
        <w:fldChar w:fldCharType="end"/>
      </w:r>
      <w:r w:rsidRPr="000A3954">
        <w:t>. This is due to the fact that, with higher cable investment costs, the total number of cables installed decreases, which leads to a higher amount of PNS within the system, which in turn leads to higher operating costs.</w:t>
      </w:r>
    </w:p>
    <w:p w:rsidR="0075261E" w:rsidRPr="005B5926" w:rsidRDefault="0075261E" w:rsidP="000A3954">
      <w:pPr>
        <w:pStyle w:val="MDPI33textspaceafter"/>
      </w:pPr>
    </w:p>
    <w:p w:rsidR="0075261E" w:rsidRPr="001970B2" w:rsidRDefault="00B12363" w:rsidP="0075261E">
      <w:pPr>
        <w:keepNext/>
        <w:keepLines/>
      </w:pPr>
      <w:r w:rsidRPr="0075261E">
        <w:rPr>
          <w:noProof/>
          <w:lang w:eastAsia="en-US"/>
        </w:rPr>
        <w:drawing>
          <wp:inline distT="0" distB="0" distL="0" distR="0">
            <wp:extent cx="3200400" cy="1788160"/>
            <wp:effectExtent l="0" t="0" r="0" b="0"/>
            <wp:docPr id="188"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2">
                      <a:extLst>
                        <a:ext uri="{28A0092B-C50C-407E-A947-70E740481C1C}">
                          <a14:useLocalDpi xmlns:a14="http://schemas.microsoft.com/office/drawing/2010/main" val="0"/>
                        </a:ext>
                      </a:extLst>
                    </a:blip>
                    <a:srcRect t="8275"/>
                    <a:stretch>
                      <a:fillRect/>
                    </a:stretch>
                  </pic:blipFill>
                  <pic:spPr bwMode="auto">
                    <a:xfrm>
                      <a:off x="0" y="0"/>
                      <a:ext cx="3200400" cy="1788160"/>
                    </a:xfrm>
                    <a:prstGeom prst="rect">
                      <a:avLst/>
                    </a:prstGeom>
                    <a:noFill/>
                    <a:ln>
                      <a:noFill/>
                    </a:ln>
                  </pic:spPr>
                </pic:pic>
              </a:graphicData>
            </a:graphic>
          </wp:inline>
        </w:drawing>
      </w:r>
    </w:p>
    <w:p w:rsidR="0075261E" w:rsidRPr="000A3954" w:rsidRDefault="0075261E" w:rsidP="0075261E">
      <w:pPr>
        <w:pStyle w:val="Descripcin"/>
        <w:keepNext/>
        <w:rPr>
          <w:rFonts w:ascii="Palatino Linotype" w:eastAsia="Times New Roman" w:hAnsi="Palatino Linotype"/>
          <w:color w:val="000000"/>
          <w:sz w:val="18"/>
          <w:lang w:val="en-US" w:eastAsia="de-DE" w:bidi="en-US"/>
        </w:rPr>
      </w:pPr>
      <w:bookmarkStart w:id="15" w:name="_Ref505008620"/>
      <w:r w:rsidRPr="000A3954">
        <w:rPr>
          <w:rFonts w:ascii="Palatino Linotype" w:eastAsia="Times New Roman" w:hAnsi="Palatino Linotype"/>
          <w:b/>
          <w:color w:val="000000"/>
          <w:sz w:val="18"/>
          <w:lang w:val="en-US" w:eastAsia="de-DE" w:bidi="en-US"/>
        </w:rPr>
        <w:t xml:space="preserve">Fig. </w:t>
      </w:r>
      <w:r w:rsidRPr="000A3954">
        <w:rPr>
          <w:rFonts w:ascii="Palatino Linotype" w:eastAsia="Times New Roman" w:hAnsi="Palatino Linotype"/>
          <w:b/>
          <w:color w:val="000000"/>
          <w:sz w:val="18"/>
          <w:lang w:val="en-US" w:eastAsia="de-DE" w:bidi="en-US"/>
        </w:rPr>
        <w:fldChar w:fldCharType="begin"/>
      </w:r>
      <w:r w:rsidRPr="000A3954">
        <w:rPr>
          <w:rFonts w:ascii="Palatino Linotype" w:eastAsia="Times New Roman" w:hAnsi="Palatino Linotype"/>
          <w:b/>
          <w:color w:val="000000"/>
          <w:sz w:val="18"/>
          <w:lang w:val="en-US" w:eastAsia="de-DE" w:bidi="en-US"/>
        </w:rPr>
        <w:instrText xml:space="preserve"> SEQ Fig. \* ARABIC </w:instrText>
      </w:r>
      <w:r w:rsidRPr="000A3954">
        <w:rPr>
          <w:rFonts w:ascii="Palatino Linotype" w:eastAsia="Times New Roman" w:hAnsi="Palatino Linotype"/>
          <w:b/>
          <w:color w:val="000000"/>
          <w:sz w:val="18"/>
          <w:lang w:val="en-US" w:eastAsia="de-DE" w:bidi="en-US"/>
        </w:rPr>
        <w:fldChar w:fldCharType="separate"/>
      </w:r>
      <w:r w:rsidR="00822D91" w:rsidRPr="000A3954">
        <w:rPr>
          <w:rFonts w:ascii="Palatino Linotype" w:eastAsia="Times New Roman" w:hAnsi="Palatino Linotype"/>
          <w:b/>
          <w:color w:val="000000"/>
          <w:sz w:val="18"/>
          <w:lang w:val="en-US" w:eastAsia="de-DE" w:bidi="en-US"/>
        </w:rPr>
        <w:t>5</w:t>
      </w:r>
      <w:r w:rsidRPr="000A3954">
        <w:rPr>
          <w:rFonts w:ascii="Palatino Linotype" w:eastAsia="Times New Roman" w:hAnsi="Palatino Linotype"/>
          <w:b/>
          <w:color w:val="000000"/>
          <w:sz w:val="18"/>
          <w:lang w:val="en-US" w:eastAsia="de-DE" w:bidi="en-US"/>
        </w:rPr>
        <w:fldChar w:fldCharType="end"/>
      </w:r>
      <w:bookmarkEnd w:id="15"/>
      <w:r w:rsidRPr="000A3954">
        <w:rPr>
          <w:rFonts w:ascii="Palatino Linotype" w:eastAsia="Times New Roman" w:hAnsi="Palatino Linotype"/>
          <w:b/>
          <w:color w:val="000000"/>
          <w:sz w:val="18"/>
          <w:lang w:val="en-US" w:eastAsia="de-DE" w:bidi="en-US"/>
        </w:rPr>
        <w:t>.</w:t>
      </w:r>
      <w:r w:rsidRPr="000A3954">
        <w:rPr>
          <w:rFonts w:ascii="Palatino Linotype" w:eastAsia="Times New Roman" w:hAnsi="Palatino Linotype"/>
          <w:color w:val="000000"/>
          <w:sz w:val="18"/>
          <w:lang w:val="en-US" w:eastAsia="de-DE" w:bidi="en-US"/>
        </w:rPr>
        <w:t xml:space="preserve"> Operating costs (€) for each scenario when varying cable investment costs</w:t>
      </w:r>
    </w:p>
    <w:p w:rsidR="0075261E" w:rsidRPr="000A3954" w:rsidRDefault="0075261E" w:rsidP="000A3954">
      <w:pPr>
        <w:pStyle w:val="MDPI31text"/>
      </w:pPr>
      <w:r w:rsidRPr="000A3954">
        <w:t xml:space="preserve">We carry out a similar simulation varying the PNS penalty. Starting from the base case of the 2015 Spanish energy mix, maintaining the cable cost constant at 50,000€/km, we vary the penalty from 1,000€/MW to 10,000€/MW in steps of 1000€/MW. Our simulations indicate that as PNS increases, more transmission lines are built by the ABM. This is due to the fact that, since having PNS is getting increasingly expensive and less desirable within the system, more cables are built to avoid this penalty. A higher PNS penalty leads to more robust transmission grids. As a result, investment costs increase as well, since they are directly related to the cost of building each cable. </w:t>
      </w:r>
    </w:p>
    <w:p w:rsidR="0075261E" w:rsidRDefault="0075261E" w:rsidP="00473D7D">
      <w:pPr>
        <w:pStyle w:val="MDPI21heading1"/>
        <w:numPr>
          <w:ilvl w:val="0"/>
          <w:numId w:val="12"/>
        </w:numPr>
        <w:ind w:left="0" w:firstLine="0"/>
      </w:pPr>
      <w:r w:rsidRPr="00F4435F">
        <w:t>Conclusions</w:t>
      </w:r>
    </w:p>
    <w:p w:rsidR="003542E1" w:rsidRDefault="003542E1" w:rsidP="003542E1">
      <w:pPr>
        <w:pStyle w:val="MDPI31text"/>
      </w:pPr>
      <w:r>
        <w:t>TEP presents considerable computational complexity, given the very high number of discrete variables that result from taking into account all the possible reinforcements. This issue has been exacerbated by the increase in renewable penetr</w:t>
      </w:r>
      <w:r w:rsidR="004D2A1F">
        <w:t>ation and market integration, which call for planning large-scale regions in a coordinated manner</w:t>
      </w:r>
      <w:r>
        <w:t xml:space="preserve">. This is highly problematic, as computing time scales badly with size for these optimization problems. Decomposition, simplifications and other divide-and-conquer strategies have been proposed to tackle this issue. We propose an alternative approach to by applying ABMs. </w:t>
      </w:r>
    </w:p>
    <w:p w:rsidR="003542E1" w:rsidRDefault="003542E1" w:rsidP="003542E1">
      <w:pPr>
        <w:pStyle w:val="MDPI31text"/>
      </w:pPr>
      <w:r w:rsidRPr="000A3954">
        <w:t xml:space="preserve">ABMs offer a very interesting property: they </w:t>
      </w:r>
      <w:r>
        <w:t>are based on</w:t>
      </w:r>
      <w:r w:rsidRPr="000A3954">
        <w:t xml:space="preserve"> local information, so their computation</w:t>
      </w:r>
      <w:r>
        <w:t xml:space="preserve"> time</w:t>
      </w:r>
      <w:r w:rsidRPr="000A3954">
        <w:t xml:space="preserve"> scales relatively well with problem size although they approximate centralized solutions acceptably well. This advantage leads us to resort to ABMs as an optimization tool to tackle power network planning. For this, we adapt an existing ABM inspired on the behavior of slime </w:t>
      </w:r>
      <w:r w:rsidR="004D2A1F">
        <w:t>mold</w:t>
      </w:r>
      <w:r w:rsidRPr="000A3954">
        <w:t>, known to generate efficient transportation networks, to incorporate the specificities of the power system. This means introducing an optimization problem at each simulation step, although this optimization -which calculates the power flows through the network- is a benign problem compared to the transmission planning one.</w:t>
      </w:r>
    </w:p>
    <w:p w:rsidR="00B010B6" w:rsidRDefault="0075261E" w:rsidP="000A3954">
      <w:pPr>
        <w:pStyle w:val="MDPI31text"/>
      </w:pPr>
      <w:r w:rsidRPr="000A3954">
        <w:t xml:space="preserve">The results using our </w:t>
      </w:r>
      <w:r w:rsidR="004D2A1F">
        <w:t>mold</w:t>
      </w:r>
      <w:r w:rsidRPr="000A3954">
        <w:t xml:space="preserve">-inspired model are all reasonable networks – </w:t>
      </w:r>
      <w:r w:rsidR="003542E1">
        <w:t>albeit</w:t>
      </w:r>
      <w:r w:rsidRPr="000A3954">
        <w:t xml:space="preserve"> more expensive than the ones found by classical, MIP optimization. This difference in cost is not negligible but it is not unreasonable either, always below 20% in all cases analyzed. </w:t>
      </w:r>
      <w:r w:rsidR="003542E1">
        <w:t>B</w:t>
      </w:r>
      <w:r w:rsidRPr="000A3954">
        <w:t xml:space="preserve">iologically-inspired computation produced via ABM is capable of creating a reasonably good transmission network, and one that might potentially be even more robust to possible changes and lead to lower operating costs. The fact that the </w:t>
      </w:r>
      <w:r w:rsidR="004D2A1F">
        <w:t>mold</w:t>
      </w:r>
      <w:r w:rsidRPr="000A3954">
        <w:t xml:space="preserve">-inspired ABM can achieve quasi-optimal designs using local information only </w:t>
      </w:r>
      <w:r w:rsidRPr="000A3954">
        <w:lastRenderedPageBreak/>
        <w:t>is especially relevant for the TEP problem given its complexity. This could be relevant for other problems where centralized planning is not possible, feasible or manageable. In this context, modified ABMs might provide an interesting alternative with a benign behavior for large problem sizes.</w:t>
      </w:r>
    </w:p>
    <w:p w:rsidR="00B010B6" w:rsidRDefault="00B010B6" w:rsidP="00B010B6">
      <w:pPr>
        <w:pStyle w:val="MDPI21heading1"/>
      </w:pPr>
      <w:r>
        <w:t>Acknowledgements</w:t>
      </w:r>
    </w:p>
    <w:p w:rsidR="00B010B6" w:rsidRPr="000A3954" w:rsidRDefault="00B010B6" w:rsidP="00B010B6">
      <w:pPr>
        <w:pStyle w:val="MDPI31text"/>
        <w:ind w:firstLine="0"/>
      </w:pPr>
      <w:r w:rsidRPr="00B010B6">
        <w:t>This work was</w:t>
      </w:r>
      <w:r>
        <w:t xml:space="preserve"> partially</w:t>
      </w:r>
      <w:r w:rsidRPr="00B010B6">
        <w:t xml:space="preserve"> supported by Project Grant ENE2016-79517-R, awarded by the Spanish Ministerio de Economía y Competitividad</w:t>
      </w:r>
      <w:r>
        <w:t>.</w:t>
      </w:r>
    </w:p>
    <w:p w:rsidR="007737A2" w:rsidRPr="007737A2" w:rsidRDefault="007737A2" w:rsidP="007737A2">
      <w:pPr>
        <w:pStyle w:val="MDPI21heading1"/>
        <w:rPr>
          <w:sz w:val="18"/>
          <w:szCs w:val="20"/>
        </w:rPr>
      </w:pPr>
      <w:r w:rsidRPr="007737A2">
        <w:fldChar w:fldCharType="begin"/>
      </w:r>
      <w:r w:rsidRPr="007737A2">
        <w:instrText>ADDIN RW.BIB</w:instrText>
      </w:r>
      <w:r w:rsidRPr="007737A2">
        <w:fldChar w:fldCharType="separate"/>
      </w:r>
      <w:r w:rsidRPr="007737A2">
        <w:t>References</w:t>
      </w:r>
      <w:r w:rsidRPr="007737A2">
        <w:rPr>
          <w:sz w:val="18"/>
          <w:szCs w:val="20"/>
        </w:rPr>
        <w:t xml:space="preserve"> </w:t>
      </w:r>
    </w:p>
    <w:p w:rsidR="007737A2" w:rsidRPr="007737A2" w:rsidRDefault="007737A2" w:rsidP="007737A2">
      <w:pPr>
        <w:pStyle w:val="MDPI71References"/>
        <w:numPr>
          <w:ilvl w:val="0"/>
          <w:numId w:val="13"/>
        </w:numPr>
      </w:pPr>
      <w:r w:rsidRPr="007737A2">
        <w:t xml:space="preserve">S. Lumbreras and A. Ramos, "The new challenges to transmission expansion planning. Survey of recent practice and literature review," Electr. Power Syst. Res., vol. 134, pp. 19-29, 2016. </w:t>
      </w:r>
    </w:p>
    <w:p w:rsidR="007737A2" w:rsidRPr="007737A2" w:rsidRDefault="007737A2" w:rsidP="007737A2">
      <w:pPr>
        <w:pStyle w:val="MDPI71References"/>
        <w:numPr>
          <w:ilvl w:val="0"/>
          <w:numId w:val="13"/>
        </w:numPr>
      </w:pPr>
      <w:r w:rsidRPr="007737A2">
        <w:t xml:space="preserve">A. Tero et al, "Rules for biologically inspired adaptive network design," Science, vol. 327, (5964), pp. 439-442, Jan 22, 2010. </w:t>
      </w:r>
    </w:p>
    <w:p w:rsidR="007737A2" w:rsidRPr="007737A2" w:rsidRDefault="007737A2" w:rsidP="007737A2">
      <w:pPr>
        <w:pStyle w:val="MDPI71References"/>
        <w:numPr>
          <w:ilvl w:val="0"/>
          <w:numId w:val="13"/>
        </w:numPr>
      </w:pPr>
      <w:r w:rsidRPr="007737A2">
        <w:t xml:space="preserve">J. M. Galán et al, "Errors and artefacts in agent-based modelling," Journal of Artificial Societies and Social Simulation, vol. 12, (1), pp. 1, 2009. </w:t>
      </w:r>
    </w:p>
    <w:p w:rsidR="007737A2" w:rsidRPr="007737A2" w:rsidRDefault="007737A2" w:rsidP="007737A2">
      <w:pPr>
        <w:pStyle w:val="MDPI71References"/>
        <w:numPr>
          <w:ilvl w:val="0"/>
          <w:numId w:val="13"/>
        </w:numPr>
      </w:pPr>
      <w:r w:rsidRPr="007737A2">
        <w:t xml:space="preserve">T. Nakagaki, "Smart behavior of true slime mold in a labyrinth," Res. Microbiol., vol. 152, (9), pp. 767-770, 2001. </w:t>
      </w:r>
    </w:p>
    <w:p w:rsidR="007737A2" w:rsidRPr="007737A2" w:rsidRDefault="007737A2" w:rsidP="007737A2">
      <w:pPr>
        <w:pStyle w:val="MDPI71References"/>
        <w:numPr>
          <w:ilvl w:val="0"/>
          <w:numId w:val="13"/>
        </w:numPr>
      </w:pPr>
      <w:r w:rsidRPr="007737A2">
        <w:t xml:space="preserve">A. Adamatzky, "Developing proximity graphs by Physarum polycephalum: Does the plasmodium follow the Toussaint hierarchy?" Parallel Processing Letters, vol. 19, (01), pp. 105-127, 2009. </w:t>
      </w:r>
    </w:p>
    <w:p w:rsidR="007737A2" w:rsidRPr="007737A2" w:rsidRDefault="007737A2" w:rsidP="007737A2">
      <w:pPr>
        <w:pStyle w:val="MDPI71References"/>
        <w:numPr>
          <w:ilvl w:val="0"/>
          <w:numId w:val="13"/>
        </w:numPr>
      </w:pPr>
      <w:r w:rsidRPr="007737A2">
        <w:t xml:space="preserve">S. Tsuda, M. Aono and Y. Gunji, "Robust and emergent Physarum logical-computing," BioSystems, vol. 73, (1), pp. 45-55, 2004. </w:t>
      </w:r>
    </w:p>
    <w:p w:rsidR="007737A2" w:rsidRPr="007737A2" w:rsidRDefault="007737A2" w:rsidP="007737A2">
      <w:pPr>
        <w:pStyle w:val="MDPI71References"/>
        <w:numPr>
          <w:ilvl w:val="0"/>
          <w:numId w:val="13"/>
        </w:numPr>
      </w:pPr>
      <w:r w:rsidRPr="007737A2">
        <w:t xml:space="preserve">A. Takamatsu, E. Takaba and G. Takizawa, "Environment-dependent morphology in plasmodium of true slime mold Physarum polycephalum and a network growth model," J. Theor. Biol., vol. 256, (1), pp. 29-44, 2009. </w:t>
      </w:r>
    </w:p>
    <w:p w:rsidR="007737A2" w:rsidRPr="007737A2" w:rsidRDefault="007737A2" w:rsidP="007737A2">
      <w:pPr>
        <w:pStyle w:val="MDPI71References"/>
        <w:numPr>
          <w:ilvl w:val="0"/>
          <w:numId w:val="13"/>
        </w:numPr>
      </w:pPr>
      <w:r w:rsidRPr="007737A2">
        <w:t xml:space="preserve">S. Binato, M. V. F. Pereira and S. Granville, "A New Benders Decomposition Approach to Solve Power Transmission Network Design Problems," IEEE Trans. Power Syst., vol. 16, (2), pp. 235, 05, 2001. </w:t>
      </w:r>
    </w:p>
    <w:p w:rsidR="007737A2" w:rsidRPr="007737A2" w:rsidRDefault="007737A2" w:rsidP="007737A2">
      <w:pPr>
        <w:pStyle w:val="MDPI71References"/>
        <w:numPr>
          <w:ilvl w:val="0"/>
          <w:numId w:val="13"/>
        </w:numPr>
      </w:pPr>
      <w:r w:rsidRPr="007737A2">
        <w:t xml:space="preserve">S. Lumbreras and A. Ramos, "How to solve the transmission expansion planning problem faster: acceleration techniques applied to Benders’ decomposition," IET Generation, Transmission &amp; Distribution, 2016. </w:t>
      </w:r>
    </w:p>
    <w:p w:rsidR="007737A2" w:rsidRPr="007737A2" w:rsidRDefault="007737A2" w:rsidP="007737A2">
      <w:pPr>
        <w:pStyle w:val="MDPI71References"/>
        <w:numPr>
          <w:ilvl w:val="0"/>
          <w:numId w:val="13"/>
        </w:numPr>
      </w:pPr>
      <w:r w:rsidRPr="007737A2">
        <w:t xml:space="preserve">S. Lumbreras et al, "Large-scale transmission expansion planning: from zonal results to a nodal expansion plan," IET Generation, Transmission &amp; Distribution, vol. 11, (11), pp. 2778-2786, 2017. </w:t>
      </w:r>
    </w:p>
    <w:p w:rsidR="007737A2" w:rsidRPr="007737A2" w:rsidRDefault="007737A2" w:rsidP="007737A2">
      <w:pPr>
        <w:pStyle w:val="MDPI71References"/>
        <w:numPr>
          <w:ilvl w:val="0"/>
          <w:numId w:val="13"/>
        </w:numPr>
      </w:pPr>
      <w:r w:rsidRPr="007737A2">
        <w:t xml:space="preserve">S. D. J. McArthur et al, "Multi-Agent Systems for Power Engineering Applications—Part I: Concepts, Approaches, and Technical Challenges," Power Systems, IEEE Transactions on, vol. 22, (4), pp. 1743-1752, 2007. </w:t>
      </w:r>
    </w:p>
    <w:p w:rsidR="007737A2" w:rsidRPr="007737A2" w:rsidRDefault="007737A2" w:rsidP="007737A2">
      <w:pPr>
        <w:pStyle w:val="MDPI71References"/>
        <w:numPr>
          <w:ilvl w:val="0"/>
          <w:numId w:val="13"/>
        </w:numPr>
      </w:pPr>
      <w:r w:rsidRPr="007737A2">
        <w:t xml:space="preserve">D. Kiose and V. Voudouris, "The ACEWEM framework: An integrated agent-based and statistical modelling laboratory for repeated power auctions," Expert Syst. Appl., vol. 42, (5), pp. 2731-2748, 4/1, 2015. </w:t>
      </w:r>
    </w:p>
    <w:p w:rsidR="007737A2" w:rsidRPr="007737A2" w:rsidRDefault="007737A2" w:rsidP="007737A2">
      <w:pPr>
        <w:pStyle w:val="MDPI71References"/>
        <w:numPr>
          <w:ilvl w:val="0"/>
          <w:numId w:val="13"/>
        </w:numPr>
      </w:pPr>
      <w:r w:rsidRPr="007737A2">
        <w:t xml:space="preserve">M. Shafie-Khah and J. P. S. Catalao, "A Stochastic Multi-Layer Agent-Based Model to Study Electricity Market Participants Behavior," Power Systems, IEEE Transactions on, vol. 30, (2), pp. 867-881, 2015. </w:t>
      </w:r>
    </w:p>
    <w:p w:rsidR="007737A2" w:rsidRPr="007737A2" w:rsidRDefault="007737A2" w:rsidP="007737A2">
      <w:pPr>
        <w:pStyle w:val="MDPI71References"/>
        <w:numPr>
          <w:ilvl w:val="0"/>
          <w:numId w:val="13"/>
        </w:numPr>
      </w:pPr>
      <w:r w:rsidRPr="007737A2">
        <w:t xml:space="preserve">G. Li and J. Shi, "Agent-based modeling for trading wind power with uncertainty in the day-ahead wholesale electricity markets of single-sided auctions," Appl. Energy, vol. 99, pp. 13-22, 11, 2012. </w:t>
      </w:r>
    </w:p>
    <w:p w:rsidR="007737A2" w:rsidRPr="007737A2" w:rsidRDefault="007737A2" w:rsidP="007737A2">
      <w:pPr>
        <w:pStyle w:val="MDPI71References"/>
        <w:numPr>
          <w:ilvl w:val="0"/>
          <w:numId w:val="13"/>
        </w:numPr>
      </w:pPr>
      <w:r w:rsidRPr="007737A2">
        <w:t xml:space="preserve">P. R. Thimmapuram and Jinho Kim, "Consumers' Price Elasticity of Demand Modeling With Economic Effects on Electricity Markets Using an Agent-Based Model," Smart Grid, IEEE Transactions on, vol. 4, (1), pp. 390-397, 2013. </w:t>
      </w:r>
    </w:p>
    <w:p w:rsidR="007737A2" w:rsidRPr="007737A2" w:rsidRDefault="007737A2" w:rsidP="007737A2">
      <w:pPr>
        <w:pStyle w:val="MDPI71References"/>
        <w:numPr>
          <w:ilvl w:val="0"/>
          <w:numId w:val="13"/>
        </w:numPr>
      </w:pPr>
      <w:r w:rsidRPr="007737A2">
        <w:t xml:space="preserve">E. Karfopoulos et al, "A multi-agent system providing demand response services from residential consumers," Electr. Power Syst. Res., vol. 120, pp. 163-176, 3, 2015. </w:t>
      </w:r>
    </w:p>
    <w:p w:rsidR="007737A2" w:rsidRPr="007737A2" w:rsidRDefault="007737A2" w:rsidP="007737A2">
      <w:pPr>
        <w:pStyle w:val="MDPI71References"/>
        <w:numPr>
          <w:ilvl w:val="0"/>
          <w:numId w:val="13"/>
        </w:numPr>
      </w:pPr>
      <w:r w:rsidRPr="007737A2">
        <w:t xml:space="preserve">D. Divenyi and A. M. Dan, "Agent-Based Modeling of Distributed Generation in Power System Control," Sustainable Energy, IEEE Transactions on, vol. 4, (4), pp. 886-893, 2013. </w:t>
      </w:r>
    </w:p>
    <w:p w:rsidR="007737A2" w:rsidRPr="007737A2" w:rsidRDefault="007737A2" w:rsidP="007737A2">
      <w:pPr>
        <w:pStyle w:val="MDPI71References"/>
        <w:numPr>
          <w:ilvl w:val="0"/>
          <w:numId w:val="13"/>
        </w:numPr>
      </w:pPr>
      <w:r w:rsidRPr="007737A2">
        <w:t xml:space="preserve">A. Niese et al, "Market-based self-organized provision of active power and ancillary services: An agent-based approach for smart distribution grids," in Complexity in Engineering (COMPENG), 2012, 2012, pp. 1-5. </w:t>
      </w:r>
    </w:p>
    <w:p w:rsidR="007737A2" w:rsidRPr="007737A2" w:rsidRDefault="007737A2" w:rsidP="007737A2">
      <w:pPr>
        <w:pStyle w:val="MDPI71References"/>
        <w:numPr>
          <w:ilvl w:val="0"/>
          <w:numId w:val="13"/>
        </w:numPr>
      </w:pPr>
      <w:r w:rsidRPr="007737A2">
        <w:t xml:space="preserve">A. Prostejovsky et al, "Demonstration of a multi-agent-based control system for active electric power distribution grids," in Intelligent Energy Systems (IWIES), 2013 IEEE International Workshop on, 2013, pp. 76-81. </w:t>
      </w:r>
    </w:p>
    <w:p w:rsidR="007737A2" w:rsidRPr="007737A2" w:rsidRDefault="007737A2" w:rsidP="007737A2">
      <w:pPr>
        <w:pStyle w:val="MDPI71References"/>
        <w:numPr>
          <w:ilvl w:val="0"/>
          <w:numId w:val="13"/>
        </w:numPr>
      </w:pPr>
      <w:r w:rsidRPr="007737A2">
        <w:t xml:space="preserve">K. J. Ross, K. M. Hopkinson and M. Pachter, "Using a Distributed Agent-Based Communication Enabled Special Protection System to Enhance Smart Grid Security," Smart Grid, IEEE Transactions on, vol. 4, (2), pp. 1216-1224, 2013. </w:t>
      </w:r>
    </w:p>
    <w:p w:rsidR="007737A2" w:rsidRPr="007737A2" w:rsidRDefault="007737A2" w:rsidP="007737A2">
      <w:pPr>
        <w:pStyle w:val="MDPI71References"/>
        <w:numPr>
          <w:ilvl w:val="0"/>
          <w:numId w:val="13"/>
        </w:numPr>
      </w:pPr>
      <w:r w:rsidRPr="007737A2">
        <w:t xml:space="preserve">C. P. Nguyen and A. J. Flueck, "A Novel Agent-Based Distributed Power Flow Solver for Smart Grids," Smart Grid, IEEE Transactions on, vol. 6, (3), pp. 1261-1270, 2015. </w:t>
      </w:r>
    </w:p>
    <w:p w:rsidR="007737A2" w:rsidRPr="007737A2" w:rsidRDefault="007737A2" w:rsidP="007737A2">
      <w:pPr>
        <w:pStyle w:val="MDPI71References"/>
        <w:numPr>
          <w:ilvl w:val="0"/>
          <w:numId w:val="13"/>
        </w:numPr>
      </w:pPr>
      <w:r w:rsidRPr="007737A2">
        <w:lastRenderedPageBreak/>
        <w:t xml:space="preserve">A. L. Dimeas and N. D. Hatziargyriou, "Operation of a multiagent system for microgrid control," Power Systems, IEEE Transactions on, vol. 20, (3), pp. 1447-1455, 2005. </w:t>
      </w:r>
    </w:p>
    <w:p w:rsidR="007737A2" w:rsidRPr="007737A2" w:rsidRDefault="007737A2" w:rsidP="007737A2">
      <w:pPr>
        <w:pStyle w:val="MDPI71References"/>
        <w:numPr>
          <w:ilvl w:val="0"/>
          <w:numId w:val="13"/>
        </w:numPr>
      </w:pPr>
      <w:r w:rsidRPr="007737A2">
        <w:t xml:space="preserve">C. M. Colson and M. H. Nehrir, "Agent-based power management of microgrids including renewable energy power generation," in Power and Energy Society General Meeting, 2011 IEEE, 2011, pp. 1-3. </w:t>
      </w:r>
    </w:p>
    <w:p w:rsidR="007737A2" w:rsidRPr="007737A2" w:rsidRDefault="007737A2" w:rsidP="007737A2">
      <w:pPr>
        <w:pStyle w:val="MDPI71References"/>
        <w:numPr>
          <w:ilvl w:val="0"/>
          <w:numId w:val="13"/>
        </w:numPr>
      </w:pPr>
      <w:r w:rsidRPr="007737A2">
        <w:t xml:space="preserve">Chun-xia Dou and Bin Liu, "Multi-Agent Based Hierarchical Hybrid Control for Smart Microgrid," Smart Grid, IEEE Transactions on, vol. 4, (2), pp. 771-778, 2013. </w:t>
      </w:r>
    </w:p>
    <w:p w:rsidR="007737A2" w:rsidRPr="007737A2" w:rsidRDefault="007737A2" w:rsidP="007737A2">
      <w:pPr>
        <w:pStyle w:val="MDPI71References"/>
        <w:numPr>
          <w:ilvl w:val="0"/>
          <w:numId w:val="13"/>
        </w:numPr>
      </w:pPr>
      <w:r w:rsidRPr="007737A2">
        <w:t xml:space="preserve">E. M. Davidson et al, "Applying multi-agent system technology in practice: automated management and analysis of SCADA and digital fault recorder data," Power Systems, IEEE Transactions on, vol. 21, (2), pp. 559-567, 2006. </w:t>
      </w:r>
    </w:p>
    <w:p w:rsidR="007737A2" w:rsidRPr="007737A2" w:rsidRDefault="007737A2" w:rsidP="007737A2">
      <w:pPr>
        <w:pStyle w:val="MDPI71References"/>
        <w:numPr>
          <w:ilvl w:val="0"/>
          <w:numId w:val="13"/>
        </w:numPr>
      </w:pPr>
      <w:r w:rsidRPr="007737A2">
        <w:t xml:space="preserve">A. Sharma, S. C. Srivastava and S. Chakrabarti, "A multi-agent-based power system hybrid dynamic state estimator," Intelligent Systems, IEEE, vol. 30, (3), pp. 52-59, 2015. </w:t>
      </w:r>
    </w:p>
    <w:p w:rsidR="007737A2" w:rsidRPr="007737A2" w:rsidRDefault="007737A2" w:rsidP="007737A2">
      <w:pPr>
        <w:pStyle w:val="MDPI71References"/>
        <w:numPr>
          <w:ilvl w:val="0"/>
          <w:numId w:val="13"/>
        </w:numPr>
      </w:pPr>
      <w:r w:rsidRPr="007737A2">
        <w:t xml:space="preserve">D. Koesrindartoto, J. Sun and L. Tesfatsion, "An agent-based computational laboratory for testing the economic reliability of wholesale power market designs," in Power Engineering Society General Meeting, 2005. IEEE, 2005, pp. 2818-2823. </w:t>
      </w:r>
    </w:p>
    <w:p w:rsidR="007737A2" w:rsidRPr="007737A2" w:rsidRDefault="007737A2" w:rsidP="007737A2">
      <w:pPr>
        <w:pStyle w:val="MDPI71References"/>
        <w:numPr>
          <w:ilvl w:val="0"/>
          <w:numId w:val="13"/>
        </w:numPr>
      </w:pPr>
      <w:r w:rsidRPr="007737A2">
        <w:t xml:space="preserve">Xu-Wen Yan et al, "A multi-agent based autonomous decentralized framework for power system restoration," in Power System Technology (POWERCON), 2014 International Conference on, 2014, pp. 871-876. </w:t>
      </w:r>
    </w:p>
    <w:p w:rsidR="007737A2" w:rsidRPr="007737A2" w:rsidRDefault="007737A2" w:rsidP="007737A2">
      <w:pPr>
        <w:pStyle w:val="MDPI71References"/>
        <w:numPr>
          <w:ilvl w:val="0"/>
          <w:numId w:val="13"/>
        </w:numPr>
      </w:pPr>
      <w:r w:rsidRPr="007737A2">
        <w:t xml:space="preserve">Yinliang Xu, Wenxin Liu and Jun Gong, "Stable Multi-Agent-Based Load Shedding Algorithm for Power Systems," Power Systems, IEEE Transactions on, vol. 26, (4), pp. 2006-2014, 2011. </w:t>
      </w:r>
    </w:p>
    <w:p w:rsidR="007737A2" w:rsidRPr="007737A2" w:rsidRDefault="007737A2" w:rsidP="007737A2">
      <w:pPr>
        <w:pStyle w:val="MDPI71References"/>
        <w:numPr>
          <w:ilvl w:val="0"/>
          <w:numId w:val="13"/>
        </w:numPr>
      </w:pPr>
      <w:r w:rsidRPr="007737A2">
        <w:t xml:space="preserve">M. Nasri et al, "Multi-agent control system for real-time adaptive VVO/CVR in smart substation," in Electrical Power and Energy Conference (EPEC), 2012 IEEE, 2012, pp. 1-7. </w:t>
      </w:r>
    </w:p>
    <w:p w:rsidR="007737A2" w:rsidRPr="007737A2" w:rsidRDefault="007737A2" w:rsidP="007737A2">
      <w:pPr>
        <w:pStyle w:val="MDPI71References"/>
        <w:numPr>
          <w:ilvl w:val="0"/>
          <w:numId w:val="13"/>
        </w:numPr>
      </w:pPr>
      <w:r w:rsidRPr="007737A2">
        <w:t xml:space="preserve">D. Buse et al, "Agent-based substation automation," Power and Energy Magazine, IEEE, vol. 1, (2), pp. 50-55, 2003. </w:t>
      </w:r>
    </w:p>
    <w:p w:rsidR="007737A2" w:rsidRPr="007737A2" w:rsidRDefault="007737A2" w:rsidP="007737A2">
      <w:pPr>
        <w:pStyle w:val="MDPI71References"/>
        <w:numPr>
          <w:ilvl w:val="0"/>
          <w:numId w:val="13"/>
        </w:numPr>
      </w:pPr>
      <w:r w:rsidRPr="007737A2">
        <w:t xml:space="preserve">R. Kumar, D. Sharma and A. Sadu, "A hybrid multi-agent based particle swarm optimization algorithm for economic power dispatch," International Journal of Electrical Power &amp; Energy Systems, vol. 33, (1), pp. 115-123, 1, 2011. </w:t>
      </w:r>
    </w:p>
    <w:p w:rsidR="007737A2" w:rsidRPr="007737A2" w:rsidRDefault="007737A2" w:rsidP="007737A2">
      <w:pPr>
        <w:pStyle w:val="MDPI71References"/>
        <w:numPr>
          <w:ilvl w:val="0"/>
          <w:numId w:val="13"/>
        </w:numPr>
      </w:pPr>
      <w:r w:rsidRPr="007737A2">
        <w:t xml:space="preserve">E. Gnansounou et al, "Market oriented planning of power generation expansion using agent-based model," in Power Systems Conference and Exposition, 2004. IEEE PES, 2004, pp. 1306-1311 vol.3. </w:t>
      </w:r>
    </w:p>
    <w:p w:rsidR="007737A2" w:rsidRPr="007737A2" w:rsidRDefault="007737A2" w:rsidP="007737A2">
      <w:pPr>
        <w:pStyle w:val="MDPI71References"/>
        <w:numPr>
          <w:ilvl w:val="0"/>
          <w:numId w:val="13"/>
        </w:numPr>
      </w:pPr>
      <w:r w:rsidRPr="007737A2">
        <w:t xml:space="preserve">S. Lumbreras, "Decision Support Methods for Large-Scale Flexible Transmission Expansion Planning," PhD Thesis, Universidad Pontificia Comillas. Madrid (Spain), 2014. </w:t>
      </w:r>
    </w:p>
    <w:p w:rsidR="007737A2" w:rsidRPr="007737A2" w:rsidRDefault="007737A2" w:rsidP="007737A2">
      <w:pPr>
        <w:pStyle w:val="MDPI71References"/>
        <w:numPr>
          <w:ilvl w:val="0"/>
          <w:numId w:val="13"/>
        </w:numPr>
      </w:pPr>
      <w:r w:rsidRPr="007737A2">
        <w:t xml:space="preserve">R. Hemmati, R. -. Hooshmand and A. Khodabakhshian, "Comprehensive review of generation and transmission expansion planning," Generation, Transmission &amp; Distribution, IET, vol. 7, (9), pp. 955-964, 2013. </w:t>
      </w:r>
    </w:p>
    <w:p w:rsidR="007737A2" w:rsidRPr="007737A2" w:rsidRDefault="007737A2" w:rsidP="007737A2">
      <w:pPr>
        <w:pStyle w:val="MDPI71References"/>
        <w:numPr>
          <w:ilvl w:val="0"/>
          <w:numId w:val="13"/>
        </w:numPr>
      </w:pPr>
      <w:r w:rsidRPr="007737A2">
        <w:t xml:space="preserve">A. Motamedi et al, "A Transmission Planning Framework Considering Future Generation Expansions in Electricity Markets," Power Systems, IEEE Transactions on, vol. 25, (4), pp. 1987-1995, 2010. </w:t>
      </w:r>
    </w:p>
    <w:p w:rsidR="007737A2" w:rsidRPr="007737A2" w:rsidRDefault="007737A2" w:rsidP="007737A2">
      <w:pPr>
        <w:pStyle w:val="MDPI71References"/>
        <w:numPr>
          <w:ilvl w:val="0"/>
          <w:numId w:val="13"/>
        </w:numPr>
      </w:pPr>
      <w:r w:rsidRPr="007737A2">
        <w:t xml:space="preserve">J. Yen et al, "Multi-agent approach to the planning of power transmission expansion," Decis. Support Syst., vol. 28, (3), pp. 279-290, 5, 2000. </w:t>
      </w:r>
    </w:p>
    <w:p w:rsidR="007737A2" w:rsidRPr="007737A2" w:rsidRDefault="007737A2" w:rsidP="007737A2">
      <w:pPr>
        <w:pStyle w:val="MDPI71References"/>
        <w:numPr>
          <w:ilvl w:val="0"/>
          <w:numId w:val="13"/>
        </w:numPr>
      </w:pPr>
      <w:r w:rsidRPr="007737A2">
        <w:t xml:space="preserve">R. Palma-Benhke et al, "Modelling network constrained economic dispatch problems," Optimization and Engineering, vol. 14, (3), pp. 417-430, 2013. </w:t>
      </w:r>
    </w:p>
    <w:p w:rsidR="007737A2" w:rsidRPr="007737A2" w:rsidRDefault="007737A2" w:rsidP="007737A2">
      <w:pPr>
        <w:pStyle w:val="MDPI71References"/>
        <w:numPr>
          <w:ilvl w:val="0"/>
          <w:numId w:val="13"/>
        </w:numPr>
      </w:pPr>
      <w:r w:rsidRPr="007737A2">
        <w:t xml:space="preserve">V. Grimm et al, "A standard protocol for describing individual-based and agent-based models," Ecol. Model., vol. 198, (1), pp. 115-126, 2006. </w:t>
      </w:r>
    </w:p>
    <w:p w:rsidR="007737A2" w:rsidRPr="007737A2" w:rsidRDefault="007737A2" w:rsidP="007737A2">
      <w:pPr>
        <w:pStyle w:val="MDPI71References"/>
        <w:numPr>
          <w:ilvl w:val="0"/>
          <w:numId w:val="13"/>
        </w:numPr>
      </w:pPr>
      <w:r w:rsidRPr="007737A2">
        <w:t xml:space="preserve">EWEA, "Wind in power. 2014 european statistics." 2015. </w:t>
      </w:r>
    </w:p>
    <w:p w:rsidR="007737A2" w:rsidRPr="007737A2" w:rsidRDefault="007737A2" w:rsidP="007737A2">
      <w:pPr>
        <w:pStyle w:val="MDPI71References"/>
        <w:numPr>
          <w:ilvl w:val="0"/>
          <w:numId w:val="13"/>
        </w:numPr>
      </w:pPr>
      <w:r w:rsidRPr="007737A2">
        <w:t xml:space="preserve">I. Lorscheid, B. Heine and M. Meyer, "Opening the ‘black box’of simulations: increased transparency and effective communication through the systematic design of experiments," Computational and Mathematical Organization Theory, vol. 18, (1), pp. 22-62, 2012. </w:t>
      </w:r>
    </w:p>
    <w:p w:rsidR="007737A2" w:rsidRPr="00763CB2" w:rsidRDefault="007737A2" w:rsidP="007737A2">
      <w:pPr>
        <w:pStyle w:val="MDPI71References"/>
        <w:ind w:left="425" w:hanging="425"/>
        <w:rPr>
          <w:rFonts w:eastAsia="SimSun"/>
        </w:rPr>
      </w:pPr>
      <w:r w:rsidRPr="007737A2">
        <w:fldChar w:fldCharType="end"/>
      </w:r>
    </w:p>
    <w:p w:rsidR="00473D7D" w:rsidRDefault="00473D7D" w:rsidP="00473D7D">
      <w:pPr>
        <w:pStyle w:val="MDPI71References"/>
        <w:spacing w:after="240"/>
        <w:ind w:left="780"/>
      </w:pPr>
    </w:p>
    <w:tbl>
      <w:tblPr>
        <w:tblW w:w="0" w:type="auto"/>
        <w:jc w:val="center"/>
        <w:tblLook w:val="04A0" w:firstRow="1" w:lastRow="0" w:firstColumn="1" w:lastColumn="0" w:noHBand="0" w:noVBand="1"/>
      </w:tblPr>
      <w:tblGrid>
        <w:gridCol w:w="1711"/>
        <w:gridCol w:w="7133"/>
      </w:tblGrid>
      <w:tr w:rsidR="00473D7D" w:rsidRPr="00B76A8D" w:rsidTr="00C97B8F">
        <w:trPr>
          <w:jc w:val="center"/>
        </w:trPr>
        <w:tc>
          <w:tcPr>
            <w:tcW w:w="0" w:type="auto"/>
            <w:shd w:val="clear" w:color="auto" w:fill="auto"/>
            <w:vAlign w:val="center"/>
          </w:tcPr>
          <w:p w:rsidR="00473D7D" w:rsidRPr="00B76A8D" w:rsidRDefault="00473D7D" w:rsidP="00C97B8F">
            <w:pPr>
              <w:pStyle w:val="MDPI71References"/>
              <w:ind w:left="-85"/>
              <w:rPr>
                <w:rFonts w:eastAsia="SimSun"/>
                <w:bCs/>
              </w:rPr>
            </w:pPr>
            <w:r w:rsidRPr="00B76A8D">
              <w:rPr>
                <w:rFonts w:eastAsia="SimSun"/>
                <w:bCs/>
                <w:noProof/>
                <w:lang w:eastAsia="en-US" w:bidi="ar-SA"/>
              </w:rPr>
              <w:drawing>
                <wp:inline distT="0" distB="0" distL="0" distR="0" wp14:anchorId="715AD2BC" wp14:editId="44536D82">
                  <wp:extent cx="1003300" cy="361950"/>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300" cy="361950"/>
                          </a:xfrm>
                          <a:prstGeom prst="rect">
                            <a:avLst/>
                          </a:prstGeom>
                          <a:noFill/>
                          <a:ln>
                            <a:noFill/>
                          </a:ln>
                        </pic:spPr>
                      </pic:pic>
                    </a:graphicData>
                  </a:graphic>
                </wp:inline>
              </w:drawing>
            </w:r>
          </w:p>
        </w:tc>
        <w:tc>
          <w:tcPr>
            <w:tcW w:w="7149" w:type="dxa"/>
            <w:shd w:val="clear" w:color="auto" w:fill="auto"/>
            <w:vAlign w:val="center"/>
          </w:tcPr>
          <w:p w:rsidR="00473D7D" w:rsidRPr="00B76A8D" w:rsidRDefault="00473D7D" w:rsidP="00C97B8F">
            <w:pPr>
              <w:pStyle w:val="MDPI71References"/>
              <w:ind w:left="-85"/>
              <w:rPr>
                <w:rFonts w:eastAsia="SimSun"/>
                <w:bCs/>
              </w:rPr>
            </w:pPr>
            <w:r>
              <w:rPr>
                <w:rFonts w:eastAsia="SimSun"/>
                <w:bCs/>
              </w:rPr>
              <w:t>© 2019</w:t>
            </w:r>
            <w:r w:rsidRPr="00B76A8D">
              <w:rPr>
                <w:rFonts w:eastAsia="SimSun"/>
                <w:bCs/>
              </w:rPr>
              <w:t xml:space="preserve"> by the authors. Submitted for possible open access publication under the terms and conditions of the Creative Commons Attribution (CC BY) license (http://creativecommons.org/licenses/by/4.0/).</w:t>
            </w:r>
          </w:p>
        </w:tc>
      </w:tr>
    </w:tbl>
    <w:p w:rsidR="00B402AB" w:rsidRPr="00763CB2" w:rsidRDefault="00B402AB" w:rsidP="007737A2">
      <w:pPr>
        <w:pStyle w:val="MDPI71References"/>
        <w:divId w:val="37124025"/>
        <w:rPr>
          <w:rFonts w:eastAsia="SimSun"/>
        </w:rPr>
      </w:pPr>
    </w:p>
    <w:sectPr w:rsidR="00B402AB" w:rsidRPr="00763CB2" w:rsidSect="00B402AB">
      <w:headerReference w:type="even" r:id="rId14"/>
      <w:headerReference w:type="default" r:id="rId15"/>
      <w:footerReference w:type="default" r:id="rId16"/>
      <w:headerReference w:type="first" r:id="rId17"/>
      <w:footerReference w:type="first" r:id="rId18"/>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4E" w:rsidRDefault="00D1724E">
      <w:pPr>
        <w:spacing w:line="240" w:lineRule="auto"/>
      </w:pPr>
      <w:r>
        <w:separator/>
      </w:r>
    </w:p>
  </w:endnote>
  <w:endnote w:type="continuationSeparator" w:id="0">
    <w:p w:rsidR="00D1724E" w:rsidRDefault="00D17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1E" w:rsidRPr="00717E37" w:rsidRDefault="0075261E" w:rsidP="00922B1F">
    <w:pPr>
      <w:pStyle w:val="Piedep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1E" w:rsidRPr="008B308E" w:rsidRDefault="0075261E" w:rsidP="00922B1F">
    <w:pPr>
      <w:pStyle w:val="MDPIfooterfirstpage"/>
      <w:spacing w:line="240" w:lineRule="auto"/>
      <w:jc w:val="both"/>
      <w:rPr>
        <w:lang w:val="fr-CH"/>
      </w:rPr>
    </w:pPr>
    <w:r>
      <w:rPr>
        <w:i/>
      </w:rPr>
      <w:t>Energies</w:t>
    </w:r>
    <w:r>
      <w:rPr>
        <w:iCs/>
        <w:lang w:val="fr-FR"/>
      </w:rPr>
      <w:t xml:space="preserve"> </w:t>
    </w:r>
    <w:r w:rsidRPr="00E847BE">
      <w:rPr>
        <w:b/>
      </w:rPr>
      <w:t>2019</w:t>
    </w:r>
    <w:r w:rsidRPr="00E847BE">
      <w:t xml:space="preserve">, </w:t>
    </w:r>
    <w:r w:rsidRPr="00E847BE">
      <w:rPr>
        <w:i/>
      </w:rPr>
      <w:t>12</w:t>
    </w:r>
    <w:r w:rsidRPr="00E847BE">
      <w:t xml:space="preserve">, </w:t>
    </w:r>
    <w:r>
      <w:t>x; doi: FOR PEER REVIEW</w:t>
    </w:r>
    <w:r w:rsidRPr="008B308E">
      <w:rPr>
        <w:lang w:val="fr-CH"/>
      </w:rPr>
      <w:tab/>
      <w:t>www.mdpi.com/journal/</w:t>
    </w:r>
    <w:r w:rsidRPr="00B010B6">
      <w:t>energies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4E" w:rsidRDefault="00D1724E">
      <w:pPr>
        <w:spacing w:line="240" w:lineRule="auto"/>
      </w:pPr>
      <w:r>
        <w:separator/>
      </w:r>
    </w:p>
  </w:footnote>
  <w:footnote w:type="continuationSeparator" w:id="0">
    <w:p w:rsidR="00D1724E" w:rsidRDefault="00D172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1E" w:rsidRDefault="0075261E" w:rsidP="00922B1F">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1E" w:rsidRPr="00B913EA" w:rsidRDefault="0075261E" w:rsidP="00922B1F">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Energies </w:t>
    </w:r>
    <w:r w:rsidRPr="00E847BE">
      <w:rPr>
        <w:rFonts w:ascii="Palatino Linotype" w:hAnsi="Palatino Linotype"/>
        <w:b/>
        <w:sz w:val="16"/>
      </w:rPr>
      <w:t>2019</w:t>
    </w:r>
    <w:r w:rsidRPr="00E847BE">
      <w:rPr>
        <w:rFonts w:ascii="Palatino Linotype" w:hAnsi="Palatino Linotype"/>
        <w:sz w:val="16"/>
      </w:rPr>
      <w:t xml:space="preserve">, </w:t>
    </w:r>
    <w:r w:rsidRPr="00E847BE">
      <w:rPr>
        <w:rFonts w:ascii="Palatino Linotype" w:hAnsi="Palatino Linotype"/>
        <w:i/>
        <w:sz w:val="16"/>
      </w:rPr>
      <w:t>12</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C22428">
      <w:rPr>
        <w:rFonts w:ascii="Palatino Linotype" w:hAnsi="Palatino Linotype"/>
        <w:noProof/>
        <w:sz w:val="16"/>
      </w:rPr>
      <w:t>5</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C22428">
      <w:rPr>
        <w:rFonts w:ascii="Palatino Linotype" w:hAnsi="Palatino Linotype"/>
        <w:noProof/>
        <w:sz w:val="16"/>
      </w:rPr>
      <w:t>5</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1E" w:rsidRDefault="00B12363" w:rsidP="00922B1F">
    <w:pPr>
      <w:pStyle w:val="MDPIheaderjournallogo"/>
    </w:pPr>
    <w:r>
      <w:rPr>
        <w:noProof/>
        <w:lang w:eastAsia="en-US"/>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75261E" w:rsidRDefault="00B12363" w:rsidP="00922B1F">
                          <w:pPr>
                            <w:pStyle w:val="MDPIheaderjournallogo"/>
                            <w:jc w:val="center"/>
                            <w:textboxTightWrap w:val="allLines"/>
                            <w:rPr>
                              <w:i w:val="0"/>
                              <w:szCs w:val="16"/>
                            </w:rPr>
                          </w:pPr>
                          <w:r w:rsidRPr="00B402AB">
                            <w:rPr>
                              <w:i w:val="0"/>
                              <w:noProof/>
                              <w:szCs w:val="16"/>
                              <w:lang w:eastAsia="en-US"/>
                            </w:rPr>
                            <w:drawing>
                              <wp:inline distT="0" distB="0" distL="0" distR="0">
                                <wp:extent cx="539115" cy="35496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35496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26FA6A97" w14:textId="77777777" w:rsidR="0075261E" w:rsidRDefault="00B12363" w:rsidP="00922B1F">
                    <w:pPr>
                      <w:pStyle w:val="MDPIheaderjournallogo"/>
                      <w:jc w:val="center"/>
                      <w:textboxTightWrap w:val="allLines"/>
                      <w:rPr>
                        <w:i w:val="0"/>
                        <w:szCs w:val="16"/>
                      </w:rPr>
                    </w:pPr>
                    <w:r w:rsidRPr="00B402AB">
                      <w:rPr>
                        <w:i w:val="0"/>
                        <w:noProof/>
                        <w:szCs w:val="16"/>
                        <w:lang w:val="es-ES" w:eastAsia="es-ES"/>
                      </w:rPr>
                      <w:drawing>
                        <wp:inline distT="0" distB="0" distL="0" distR="0">
                          <wp:extent cx="539115" cy="35496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 cy="354965"/>
                                  </a:xfrm>
                                  <a:prstGeom prst="rect">
                                    <a:avLst/>
                                  </a:prstGeom>
                                  <a:noFill/>
                                  <a:ln>
                                    <a:noFill/>
                                  </a:ln>
                                </pic:spPr>
                              </pic:pic>
                            </a:graphicData>
                          </a:graphic>
                        </wp:inline>
                      </w:drawing>
                    </w:r>
                  </w:p>
                </w:txbxContent>
              </v:textbox>
              <w10:wrap anchorx="page" anchory="page"/>
            </v:shape>
          </w:pict>
        </mc:Fallback>
      </mc:AlternateContent>
    </w:r>
    <w:r w:rsidRPr="00A04686">
      <w:rPr>
        <w:noProof/>
        <w:lang w:eastAsia="en-US"/>
      </w:rPr>
      <w:drawing>
        <wp:inline distT="0" distB="0" distL="0" distR="0">
          <wp:extent cx="1685290" cy="429895"/>
          <wp:effectExtent l="0" t="0" r="0" b="0"/>
          <wp:docPr id="5" name="Picture 3" descr="C:\Users\home\Desktop\logos\energ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energie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290" cy="429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585"/>
    <w:multiLevelType w:val="hybridMultilevel"/>
    <w:tmpl w:val="81BEDC40"/>
    <w:lvl w:ilvl="0" w:tplc="5D18D68E">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 w15:restartNumberingAfterBreak="0">
    <w:nsid w:val="07416831"/>
    <w:multiLevelType w:val="multilevel"/>
    <w:tmpl w:val="E21045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BE49B8"/>
    <w:multiLevelType w:val="hybridMultilevel"/>
    <w:tmpl w:val="BDC233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D7389"/>
    <w:multiLevelType w:val="multilevel"/>
    <w:tmpl w:val="E2104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4ADB6F91"/>
    <w:multiLevelType w:val="hybridMultilevel"/>
    <w:tmpl w:val="B1EE9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15:restartNumberingAfterBreak="0">
    <w:nsid w:val="64794076"/>
    <w:multiLevelType w:val="hybridMultilevel"/>
    <w:tmpl w:val="697C202E"/>
    <w:lvl w:ilvl="0" w:tplc="AC048A32">
      <w:start w:val="1"/>
      <w:numFmt w:val="decimal"/>
      <w:lvlText w:val="%1."/>
      <w:lvlJc w:val="left"/>
      <w:pPr>
        <w:ind w:left="555" w:hanging="360"/>
      </w:pPr>
      <w:rPr>
        <w:rFonts w:hint="default"/>
        <w:i/>
      </w:rPr>
    </w:lvl>
    <w:lvl w:ilvl="1" w:tplc="4AFE682A" w:tentative="1">
      <w:start w:val="1"/>
      <w:numFmt w:val="lowerLetter"/>
      <w:lvlText w:val="%2."/>
      <w:lvlJc w:val="left"/>
      <w:pPr>
        <w:ind w:left="1275" w:hanging="360"/>
      </w:pPr>
    </w:lvl>
    <w:lvl w:ilvl="2" w:tplc="9C5A8E4A" w:tentative="1">
      <w:start w:val="1"/>
      <w:numFmt w:val="lowerRoman"/>
      <w:lvlText w:val="%3."/>
      <w:lvlJc w:val="right"/>
      <w:pPr>
        <w:ind w:left="1995" w:hanging="180"/>
      </w:pPr>
    </w:lvl>
    <w:lvl w:ilvl="3" w:tplc="333E495C" w:tentative="1">
      <w:start w:val="1"/>
      <w:numFmt w:val="decimal"/>
      <w:lvlText w:val="%4."/>
      <w:lvlJc w:val="left"/>
      <w:pPr>
        <w:ind w:left="2715" w:hanging="360"/>
      </w:pPr>
    </w:lvl>
    <w:lvl w:ilvl="4" w:tplc="A9AA7E8C" w:tentative="1">
      <w:start w:val="1"/>
      <w:numFmt w:val="lowerLetter"/>
      <w:lvlText w:val="%5."/>
      <w:lvlJc w:val="left"/>
      <w:pPr>
        <w:ind w:left="3435" w:hanging="360"/>
      </w:pPr>
    </w:lvl>
    <w:lvl w:ilvl="5" w:tplc="4BA087AA" w:tentative="1">
      <w:start w:val="1"/>
      <w:numFmt w:val="lowerRoman"/>
      <w:lvlText w:val="%6."/>
      <w:lvlJc w:val="right"/>
      <w:pPr>
        <w:ind w:left="4155" w:hanging="180"/>
      </w:pPr>
    </w:lvl>
    <w:lvl w:ilvl="6" w:tplc="2A3CB4BA" w:tentative="1">
      <w:start w:val="1"/>
      <w:numFmt w:val="decimal"/>
      <w:lvlText w:val="%7."/>
      <w:lvlJc w:val="left"/>
      <w:pPr>
        <w:ind w:left="4875" w:hanging="360"/>
      </w:pPr>
    </w:lvl>
    <w:lvl w:ilvl="7" w:tplc="D2ACBC10" w:tentative="1">
      <w:start w:val="1"/>
      <w:numFmt w:val="lowerLetter"/>
      <w:lvlText w:val="%8."/>
      <w:lvlJc w:val="left"/>
      <w:pPr>
        <w:ind w:left="5595" w:hanging="360"/>
      </w:pPr>
    </w:lvl>
    <w:lvl w:ilvl="8" w:tplc="2F60C5F4" w:tentative="1">
      <w:start w:val="1"/>
      <w:numFmt w:val="lowerRoman"/>
      <w:lvlText w:val="%9."/>
      <w:lvlJc w:val="right"/>
      <w:pPr>
        <w:ind w:left="6315" w:hanging="180"/>
      </w:pPr>
    </w:lvl>
  </w:abstractNum>
  <w:num w:numId="1">
    <w:abstractNumId w:val="6"/>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3"/>
  </w:num>
  <w:num w:numId="8">
    <w:abstractNumId w:val="10"/>
  </w:num>
  <w:num w:numId="9">
    <w:abstractNumId w:val="1"/>
  </w:num>
  <w:num w:numId="10">
    <w:abstractNumId w:val="0"/>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revisionView w:inkAnnotation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C0"/>
    <w:rsid w:val="000339E8"/>
    <w:rsid w:val="0003783F"/>
    <w:rsid w:val="0004194B"/>
    <w:rsid w:val="0009574A"/>
    <w:rsid w:val="000A0F10"/>
    <w:rsid w:val="000A3954"/>
    <w:rsid w:val="000F52FB"/>
    <w:rsid w:val="00110EB0"/>
    <w:rsid w:val="00112BEF"/>
    <w:rsid w:val="001734B6"/>
    <w:rsid w:val="001C341E"/>
    <w:rsid w:val="001C3A2C"/>
    <w:rsid w:val="001E2AEB"/>
    <w:rsid w:val="001E597E"/>
    <w:rsid w:val="002749FA"/>
    <w:rsid w:val="002A49D8"/>
    <w:rsid w:val="002A648E"/>
    <w:rsid w:val="002A6908"/>
    <w:rsid w:val="00321D23"/>
    <w:rsid w:val="00326141"/>
    <w:rsid w:val="003542E1"/>
    <w:rsid w:val="003B0223"/>
    <w:rsid w:val="003D1580"/>
    <w:rsid w:val="00401D30"/>
    <w:rsid w:val="00442850"/>
    <w:rsid w:val="00473D7D"/>
    <w:rsid w:val="0047731A"/>
    <w:rsid w:val="00487046"/>
    <w:rsid w:val="004D2A1F"/>
    <w:rsid w:val="004F4A2F"/>
    <w:rsid w:val="00541FA5"/>
    <w:rsid w:val="00552B7A"/>
    <w:rsid w:val="00564209"/>
    <w:rsid w:val="00580080"/>
    <w:rsid w:val="005D059B"/>
    <w:rsid w:val="005E0ED6"/>
    <w:rsid w:val="005E2C13"/>
    <w:rsid w:val="00602973"/>
    <w:rsid w:val="00645908"/>
    <w:rsid w:val="00670931"/>
    <w:rsid w:val="00671D70"/>
    <w:rsid w:val="00692393"/>
    <w:rsid w:val="0069636B"/>
    <w:rsid w:val="006C08F3"/>
    <w:rsid w:val="0075261E"/>
    <w:rsid w:val="00766E28"/>
    <w:rsid w:val="007707A8"/>
    <w:rsid w:val="007737A2"/>
    <w:rsid w:val="008131ED"/>
    <w:rsid w:val="00813755"/>
    <w:rsid w:val="00822D91"/>
    <w:rsid w:val="0083730C"/>
    <w:rsid w:val="008410F7"/>
    <w:rsid w:val="00863B89"/>
    <w:rsid w:val="008F7826"/>
    <w:rsid w:val="00922B1F"/>
    <w:rsid w:val="009839B5"/>
    <w:rsid w:val="009B1A7D"/>
    <w:rsid w:val="009C2A35"/>
    <w:rsid w:val="009C69D7"/>
    <w:rsid w:val="009D5330"/>
    <w:rsid w:val="009F2CA0"/>
    <w:rsid w:val="009F70E6"/>
    <w:rsid w:val="00A40599"/>
    <w:rsid w:val="00A40B21"/>
    <w:rsid w:val="00A812AE"/>
    <w:rsid w:val="00A82688"/>
    <w:rsid w:val="00AE32BD"/>
    <w:rsid w:val="00AF511D"/>
    <w:rsid w:val="00B010B6"/>
    <w:rsid w:val="00B12363"/>
    <w:rsid w:val="00B402AB"/>
    <w:rsid w:val="00B76A8D"/>
    <w:rsid w:val="00B85566"/>
    <w:rsid w:val="00B865DB"/>
    <w:rsid w:val="00BB67D1"/>
    <w:rsid w:val="00C22428"/>
    <w:rsid w:val="00CD0E05"/>
    <w:rsid w:val="00CE059F"/>
    <w:rsid w:val="00CE24C0"/>
    <w:rsid w:val="00D1724E"/>
    <w:rsid w:val="00D67580"/>
    <w:rsid w:val="00D84C38"/>
    <w:rsid w:val="00D87BF7"/>
    <w:rsid w:val="00DB7EFE"/>
    <w:rsid w:val="00DC351F"/>
    <w:rsid w:val="00DE34CD"/>
    <w:rsid w:val="00E0272D"/>
    <w:rsid w:val="00E048FA"/>
    <w:rsid w:val="00E24431"/>
    <w:rsid w:val="00E83281"/>
    <w:rsid w:val="00E847BE"/>
    <w:rsid w:val="00EC1818"/>
    <w:rsid w:val="00FB62CB"/>
    <w:rsid w:val="00FE2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87BF92-D73B-4E32-9C37-D9775A52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AB"/>
    <w:pPr>
      <w:spacing w:line="340" w:lineRule="atLeast"/>
      <w:jc w:val="both"/>
    </w:pPr>
    <w:rPr>
      <w:rFonts w:ascii="Times New Roman" w:eastAsia="Times New Roman" w:hAnsi="Times New Roman"/>
      <w:color w:val="000000"/>
      <w:sz w:val="24"/>
      <w:lang w:val="en-U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basedOn w:val="MDPI31text"/>
    <w:next w:val="MDPI12title"/>
    <w:qFormat/>
    <w:rsid w:val="00B402AB"/>
    <w:pPr>
      <w:spacing w:before="240" w:line="240" w:lineRule="auto"/>
      <w:ind w:firstLine="0"/>
      <w:jc w:val="left"/>
    </w:pPr>
    <w:rPr>
      <w:i/>
    </w:rPr>
  </w:style>
  <w:style w:type="paragraph" w:customStyle="1" w:styleId="MDPI12title">
    <w:name w:val="MDPI_1.2_title"/>
    <w:next w:val="MDPI13authornames"/>
    <w:qFormat/>
    <w:rsid w:val="00B402AB"/>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B402AB"/>
    <w:pPr>
      <w:spacing w:after="120"/>
      <w:ind w:firstLine="0"/>
      <w:jc w:val="left"/>
    </w:pPr>
    <w:rPr>
      <w:b/>
      <w:snapToGrid/>
    </w:rPr>
  </w:style>
  <w:style w:type="paragraph" w:customStyle="1" w:styleId="MDPI14history">
    <w:name w:val="MDPI_1.4_history"/>
    <w:basedOn w:val="MDPI62Acknowledgments"/>
    <w:next w:val="Normal"/>
    <w:qFormat/>
    <w:rsid w:val="00B402AB"/>
    <w:pPr>
      <w:ind w:left="113"/>
      <w:jc w:val="left"/>
    </w:pPr>
    <w:rPr>
      <w:snapToGrid/>
    </w:rPr>
  </w:style>
  <w:style w:type="paragraph" w:customStyle="1" w:styleId="MDPI16affiliation">
    <w:name w:val="MDPI_1.6_affiliation"/>
    <w:basedOn w:val="MDPI62Acknowledgments"/>
    <w:qFormat/>
    <w:rsid w:val="00B402AB"/>
    <w:pPr>
      <w:spacing w:before="0"/>
      <w:ind w:left="311" w:hanging="198"/>
      <w:jc w:val="left"/>
    </w:pPr>
    <w:rPr>
      <w:snapToGrid/>
      <w:szCs w:val="18"/>
    </w:rPr>
  </w:style>
  <w:style w:type="paragraph" w:customStyle="1" w:styleId="MDPI17abstract">
    <w:name w:val="MDPI_1.7_abstract"/>
    <w:basedOn w:val="MDPI31text"/>
    <w:next w:val="MDPI18keywords"/>
    <w:qFormat/>
    <w:rsid w:val="00B402AB"/>
    <w:pPr>
      <w:spacing w:before="240"/>
      <w:ind w:left="113" w:firstLine="0"/>
    </w:pPr>
    <w:rPr>
      <w:snapToGrid/>
    </w:rPr>
  </w:style>
  <w:style w:type="paragraph" w:customStyle="1" w:styleId="MDPI18keywords">
    <w:name w:val="MDPI_1.8_keywords"/>
    <w:basedOn w:val="MDPI31text"/>
    <w:next w:val="Normal"/>
    <w:qFormat/>
    <w:rsid w:val="00B402AB"/>
    <w:pPr>
      <w:spacing w:before="240"/>
      <w:ind w:left="113" w:firstLine="0"/>
    </w:pPr>
  </w:style>
  <w:style w:type="paragraph" w:customStyle="1" w:styleId="MDPI19line">
    <w:name w:val="MDPI_1.9_line"/>
    <w:basedOn w:val="MDPI31text"/>
    <w:qFormat/>
    <w:rsid w:val="00B402AB"/>
    <w:pPr>
      <w:pBdr>
        <w:bottom w:val="single" w:sz="6" w:space="1" w:color="auto"/>
      </w:pBdr>
      <w:ind w:firstLine="0"/>
    </w:pPr>
    <w:rPr>
      <w:snapToGrid/>
      <w:szCs w:val="24"/>
    </w:rPr>
  </w:style>
  <w:style w:type="paragraph" w:styleId="Piedepgina">
    <w:name w:val="footer"/>
    <w:basedOn w:val="Normal"/>
    <w:link w:val="PiedepginaCar"/>
    <w:rsid w:val="00B402AB"/>
    <w:pPr>
      <w:tabs>
        <w:tab w:val="center" w:pos="4153"/>
        <w:tab w:val="right" w:pos="8306"/>
      </w:tabs>
      <w:snapToGrid w:val="0"/>
      <w:spacing w:line="240" w:lineRule="atLeast"/>
    </w:pPr>
    <w:rPr>
      <w:sz w:val="18"/>
      <w:szCs w:val="18"/>
    </w:rPr>
  </w:style>
  <w:style w:type="character" w:customStyle="1" w:styleId="PiedepginaCar">
    <w:name w:val="Pie de página Car"/>
    <w:link w:val="Piedepgina"/>
    <w:uiPriority w:val="99"/>
    <w:rsid w:val="00B402AB"/>
    <w:rPr>
      <w:rFonts w:ascii="Times New Roman" w:eastAsia="Times New Roman" w:hAnsi="Times New Roman" w:cs="Times New Roman"/>
      <w:color w:val="000000"/>
      <w:kern w:val="0"/>
      <w:sz w:val="18"/>
      <w:szCs w:val="18"/>
      <w:lang w:eastAsia="de-DE"/>
    </w:rPr>
  </w:style>
  <w:style w:type="paragraph" w:styleId="Encabezado">
    <w:name w:val="header"/>
    <w:basedOn w:val="Normal"/>
    <w:link w:val="EncabezadoCar"/>
    <w:uiPriority w:val="99"/>
    <w:rsid w:val="00B402A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cabezadoCar">
    <w:name w:val="Encabezado Car"/>
    <w:link w:val="Encabezado"/>
    <w:uiPriority w:val="99"/>
    <w:rsid w:val="00B402A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B402AB"/>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B402AB"/>
    <w:pPr>
      <w:ind w:firstLine="0"/>
    </w:pPr>
  </w:style>
  <w:style w:type="paragraph" w:customStyle="1" w:styleId="MDPI33textspaceafter">
    <w:name w:val="MDPI_3.3_text_space_after"/>
    <w:basedOn w:val="MDPI31text"/>
    <w:qFormat/>
    <w:rsid w:val="00B402AB"/>
    <w:pPr>
      <w:spacing w:after="240"/>
    </w:pPr>
  </w:style>
  <w:style w:type="paragraph" w:customStyle="1" w:styleId="MDPI34textspacebefore">
    <w:name w:val="MDPI_3.4_text_space_before"/>
    <w:basedOn w:val="MDPI31text"/>
    <w:qFormat/>
    <w:rsid w:val="00B402AB"/>
    <w:pPr>
      <w:spacing w:before="240"/>
    </w:pPr>
  </w:style>
  <w:style w:type="paragraph" w:customStyle="1" w:styleId="MDPI35textbeforelist">
    <w:name w:val="MDPI_3.5_text_before_list"/>
    <w:basedOn w:val="MDPI31text"/>
    <w:qFormat/>
    <w:rsid w:val="00B402AB"/>
    <w:pPr>
      <w:spacing w:after="120"/>
    </w:pPr>
  </w:style>
  <w:style w:type="paragraph" w:customStyle="1" w:styleId="MDPI36textafterlist">
    <w:name w:val="MDPI_3.6_text_after_list"/>
    <w:basedOn w:val="MDPI31text"/>
    <w:qFormat/>
    <w:rsid w:val="00B402AB"/>
    <w:pPr>
      <w:spacing w:before="120"/>
    </w:pPr>
  </w:style>
  <w:style w:type="paragraph" w:customStyle="1" w:styleId="MDPI37itemize">
    <w:name w:val="MDPI_3.7_itemize"/>
    <w:basedOn w:val="MDPI31text"/>
    <w:qFormat/>
    <w:rsid w:val="00B402AB"/>
    <w:pPr>
      <w:numPr>
        <w:numId w:val="1"/>
      </w:numPr>
      <w:ind w:left="425" w:hanging="425"/>
    </w:pPr>
  </w:style>
  <w:style w:type="paragraph" w:customStyle="1" w:styleId="MDPI38bullet">
    <w:name w:val="MDPI_3.8_bullet"/>
    <w:basedOn w:val="MDPI31text"/>
    <w:qFormat/>
    <w:rsid w:val="00B402AB"/>
    <w:pPr>
      <w:numPr>
        <w:numId w:val="2"/>
      </w:numPr>
      <w:ind w:left="425" w:hanging="425"/>
    </w:pPr>
  </w:style>
  <w:style w:type="paragraph" w:customStyle="1" w:styleId="MDPI39equation">
    <w:name w:val="MDPI_3.9_equation"/>
    <w:basedOn w:val="MDPI31text"/>
    <w:qFormat/>
    <w:rsid w:val="00B402AB"/>
    <w:pPr>
      <w:spacing w:before="120" w:after="120"/>
      <w:ind w:left="709" w:firstLine="0"/>
      <w:jc w:val="center"/>
    </w:pPr>
  </w:style>
  <w:style w:type="paragraph" w:customStyle="1" w:styleId="MDPI3aequationnumber">
    <w:name w:val="MDPI_3.a_equation_number"/>
    <w:basedOn w:val="MDPI31text"/>
    <w:qFormat/>
    <w:rsid w:val="00B402AB"/>
    <w:pPr>
      <w:spacing w:before="120" w:after="120" w:line="240" w:lineRule="auto"/>
      <w:ind w:firstLine="0"/>
      <w:jc w:val="right"/>
    </w:pPr>
  </w:style>
  <w:style w:type="paragraph" w:customStyle="1" w:styleId="MDPI62Acknowledgments">
    <w:name w:val="MDPI_6.2_Acknowledgments"/>
    <w:qFormat/>
    <w:rsid w:val="00B402AB"/>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B402AB"/>
    <w:pPr>
      <w:spacing w:before="240" w:after="120" w:line="260" w:lineRule="atLeast"/>
      <w:ind w:left="425" w:right="425"/>
    </w:pPr>
    <w:rPr>
      <w:snapToGrid/>
      <w:szCs w:val="22"/>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B402AB"/>
    <w:pPr>
      <w:spacing w:before="0"/>
      <w:ind w:left="0" w:right="0"/>
    </w:pPr>
  </w:style>
  <w:style w:type="paragraph" w:customStyle="1" w:styleId="MDPI51figurecaption">
    <w:name w:val="MDPI_5.1_figure_caption"/>
    <w:basedOn w:val="MDPI62Acknowledgments"/>
    <w:qFormat/>
    <w:rsid w:val="00B402AB"/>
    <w:pPr>
      <w:spacing w:after="240" w:line="260" w:lineRule="atLeast"/>
      <w:ind w:left="425" w:right="425"/>
    </w:pPr>
    <w:rPr>
      <w:snapToGrid/>
    </w:rPr>
  </w:style>
  <w:style w:type="paragraph" w:customStyle="1" w:styleId="MDPI52figure">
    <w:name w:val="MDPI_5.2_figure"/>
    <w:qFormat/>
    <w:rsid w:val="00B402AB"/>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B402AB"/>
    <w:pPr>
      <w:spacing w:before="240"/>
    </w:pPr>
    <w:rPr>
      <w:lang w:eastAsia="en-US"/>
    </w:rPr>
  </w:style>
  <w:style w:type="paragraph" w:customStyle="1" w:styleId="MDPI63AuthorContributions">
    <w:name w:val="MDPI_6.3_AuthorContributions"/>
    <w:basedOn w:val="MDPI62Acknowledgments"/>
    <w:qFormat/>
    <w:rsid w:val="00B402AB"/>
    <w:rPr>
      <w:rFonts w:eastAsia="SimSun"/>
      <w:color w:val="auto"/>
      <w:lang w:eastAsia="en-US"/>
    </w:rPr>
  </w:style>
  <w:style w:type="paragraph" w:customStyle="1" w:styleId="MDPI64CoI">
    <w:name w:val="MDPI_6.4_CoI"/>
    <w:basedOn w:val="MDPI62Acknowledgments"/>
    <w:qFormat/>
    <w:rsid w:val="00B402AB"/>
  </w:style>
  <w:style w:type="paragraph" w:customStyle="1" w:styleId="MDPI81theorem">
    <w:name w:val="MDPI_8.1_theorem"/>
    <w:basedOn w:val="MDPI32textnoindent"/>
    <w:qFormat/>
    <w:rsid w:val="00B402AB"/>
    <w:rPr>
      <w:i/>
    </w:rPr>
  </w:style>
  <w:style w:type="paragraph" w:customStyle="1" w:styleId="MDPI82proof">
    <w:name w:val="MDPI_8.2_proof"/>
    <w:basedOn w:val="MDPI32textnoindent"/>
    <w:qFormat/>
    <w:rsid w:val="00B402AB"/>
  </w:style>
  <w:style w:type="paragraph" w:customStyle="1" w:styleId="MDPIfooterfirstpage">
    <w:name w:val="MDPI_footer_firstpage"/>
    <w:basedOn w:val="Normal"/>
    <w:qFormat/>
    <w:rsid w:val="00B402A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B402AB"/>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B402AB"/>
    <w:pPr>
      <w:spacing w:before="240" w:after="120"/>
      <w:ind w:firstLine="0"/>
      <w:jc w:val="left"/>
      <w:outlineLvl w:val="2"/>
    </w:pPr>
  </w:style>
  <w:style w:type="paragraph" w:customStyle="1" w:styleId="MDPI21heading1">
    <w:name w:val="MDPI_2.1_heading1"/>
    <w:basedOn w:val="MDPI23heading3"/>
    <w:qFormat/>
    <w:rsid w:val="00B402AB"/>
    <w:pPr>
      <w:outlineLvl w:val="0"/>
    </w:pPr>
    <w:rPr>
      <w:b/>
    </w:rPr>
  </w:style>
  <w:style w:type="paragraph" w:customStyle="1" w:styleId="MDPI22heading2">
    <w:name w:val="MDPI_2.2_heading2"/>
    <w:basedOn w:val="Normal"/>
    <w:qFormat/>
    <w:rsid w:val="00B402A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B402AB"/>
    <w:pPr>
      <w:spacing w:before="0" w:line="260" w:lineRule="atLeast"/>
    </w:pPr>
  </w:style>
  <w:style w:type="paragraph" w:styleId="Textodeglobo">
    <w:name w:val="Balloon Text"/>
    <w:basedOn w:val="Normal"/>
    <w:link w:val="TextodegloboCar"/>
    <w:uiPriority w:val="99"/>
    <w:semiHidden/>
    <w:unhideWhenUsed/>
    <w:rsid w:val="00B402AB"/>
    <w:pPr>
      <w:spacing w:line="240" w:lineRule="auto"/>
    </w:pPr>
    <w:rPr>
      <w:sz w:val="18"/>
      <w:szCs w:val="18"/>
    </w:rPr>
  </w:style>
  <w:style w:type="character" w:customStyle="1" w:styleId="TextodegloboCar">
    <w:name w:val="Texto de globo Car"/>
    <w:link w:val="Textodeglobo"/>
    <w:uiPriority w:val="99"/>
    <w:semiHidden/>
    <w:rsid w:val="00B402AB"/>
    <w:rPr>
      <w:rFonts w:ascii="Times New Roman" w:eastAsia="Times New Roman" w:hAnsi="Times New Roman" w:cs="Times New Roman"/>
      <w:color w:val="000000"/>
      <w:kern w:val="0"/>
      <w:sz w:val="18"/>
      <w:szCs w:val="18"/>
      <w:lang w:eastAsia="de-DE"/>
    </w:rPr>
  </w:style>
  <w:style w:type="character" w:styleId="Nmerodelnea">
    <w:name w:val="line number"/>
    <w:basedOn w:val="Fuentedeprrafopredeter"/>
    <w:uiPriority w:val="99"/>
    <w:semiHidden/>
    <w:unhideWhenUsed/>
    <w:rsid w:val="00B402AB"/>
  </w:style>
  <w:style w:type="table" w:customStyle="1" w:styleId="MDPI41threelinetable">
    <w:name w:val="MDPI_4.1_three_line_table"/>
    <w:basedOn w:val="Tablanormal"/>
    <w:uiPriority w:val="99"/>
    <w:rsid w:val="00B865D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ipervnculo">
    <w:name w:val="Hyperlink"/>
    <w:uiPriority w:val="99"/>
    <w:unhideWhenUsed/>
    <w:rsid w:val="00AF511D"/>
    <w:rPr>
      <w:color w:val="0563C1"/>
      <w:u w:val="single"/>
    </w:rPr>
  </w:style>
  <w:style w:type="character" w:customStyle="1" w:styleId="UnresolvedMention">
    <w:name w:val="Unresolved Mention"/>
    <w:uiPriority w:val="99"/>
    <w:semiHidden/>
    <w:unhideWhenUsed/>
    <w:rsid w:val="00FB62CB"/>
    <w:rPr>
      <w:color w:val="605E5C"/>
      <w:shd w:val="clear" w:color="auto" w:fill="E1DFDD"/>
    </w:rPr>
  </w:style>
  <w:style w:type="table" w:styleId="Tablaconcuadrcula">
    <w:name w:val="Table Grid"/>
    <w:basedOn w:val="Tablanormal"/>
    <w:uiPriority w:val="59"/>
    <w:rsid w:val="00E8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E847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xt">
    <w:name w:val="Text"/>
    <w:basedOn w:val="Normal"/>
    <w:rsid w:val="00863B89"/>
    <w:pPr>
      <w:widowControl w:val="0"/>
      <w:spacing w:line="252" w:lineRule="auto"/>
      <w:ind w:firstLine="202"/>
    </w:pPr>
    <w:rPr>
      <w:color w:val="auto"/>
      <w:sz w:val="20"/>
      <w:lang w:eastAsia="en-US"/>
    </w:rPr>
  </w:style>
  <w:style w:type="paragraph" w:customStyle="1" w:styleId="Els-1storder-head">
    <w:name w:val="Els-1storder-head"/>
    <w:next w:val="Normal"/>
    <w:rsid w:val="00863B89"/>
    <w:pPr>
      <w:keepNext/>
      <w:numPr>
        <w:numId w:val="5"/>
      </w:numPr>
      <w:suppressAutoHyphens/>
      <w:spacing w:before="240" w:after="240" w:line="240" w:lineRule="exact"/>
    </w:pPr>
    <w:rPr>
      <w:rFonts w:ascii="Times New Roman" w:hAnsi="Times New Roman"/>
      <w:b/>
      <w:lang w:val="en-US" w:eastAsia="en-US"/>
    </w:rPr>
  </w:style>
  <w:style w:type="paragraph" w:customStyle="1" w:styleId="Els-2ndorder-head">
    <w:name w:val="Els-2ndorder-head"/>
    <w:next w:val="Normal"/>
    <w:rsid w:val="00863B89"/>
    <w:pPr>
      <w:keepNext/>
      <w:numPr>
        <w:ilvl w:val="1"/>
        <w:numId w:val="5"/>
      </w:numPr>
      <w:suppressAutoHyphens/>
      <w:spacing w:before="240" w:after="240" w:line="240" w:lineRule="exact"/>
    </w:pPr>
    <w:rPr>
      <w:rFonts w:ascii="Times New Roman" w:hAnsi="Times New Roman"/>
      <w:i/>
      <w:lang w:val="en-US" w:eastAsia="en-US"/>
    </w:rPr>
  </w:style>
  <w:style w:type="paragraph" w:customStyle="1" w:styleId="Els-3rdorder-head">
    <w:name w:val="Els-3rdorder-head"/>
    <w:next w:val="Normal"/>
    <w:rsid w:val="00863B89"/>
    <w:pPr>
      <w:keepNext/>
      <w:numPr>
        <w:ilvl w:val="2"/>
        <w:numId w:val="5"/>
      </w:numPr>
      <w:suppressAutoHyphens/>
      <w:spacing w:before="240" w:line="240" w:lineRule="exact"/>
    </w:pPr>
    <w:rPr>
      <w:rFonts w:ascii="Times New Roman" w:hAnsi="Times New Roman"/>
      <w:i/>
      <w:lang w:val="en-US" w:eastAsia="en-US"/>
    </w:rPr>
  </w:style>
  <w:style w:type="paragraph" w:customStyle="1" w:styleId="Els-4thorder-head">
    <w:name w:val="Els-4thorder-head"/>
    <w:next w:val="Normal"/>
    <w:rsid w:val="00863B89"/>
    <w:pPr>
      <w:keepNext/>
      <w:numPr>
        <w:ilvl w:val="3"/>
        <w:numId w:val="5"/>
      </w:numPr>
      <w:suppressAutoHyphens/>
      <w:spacing w:before="240" w:line="240" w:lineRule="exact"/>
    </w:pPr>
    <w:rPr>
      <w:rFonts w:ascii="Times New Roman" w:hAnsi="Times New Roman"/>
      <w:i/>
      <w:lang w:val="en-US" w:eastAsia="en-US"/>
    </w:rPr>
  </w:style>
  <w:style w:type="paragraph" w:styleId="Descripcin">
    <w:name w:val="caption"/>
    <w:basedOn w:val="Normal"/>
    <w:next w:val="Normal"/>
    <w:uiPriority w:val="35"/>
    <w:qFormat/>
    <w:rsid w:val="0075261E"/>
    <w:pPr>
      <w:keepLines/>
      <w:widowControl w:val="0"/>
      <w:spacing w:before="200" w:after="240" w:line="200" w:lineRule="exact"/>
      <w:jc w:val="left"/>
    </w:pPr>
    <w:rPr>
      <w:rFonts w:eastAsia="SimSun"/>
      <w:color w:val="auto"/>
      <w:sz w:val="16"/>
      <w:lang w:val="en-GB" w:eastAsia="en-US"/>
    </w:rPr>
  </w:style>
  <w:style w:type="paragraph" w:customStyle="1" w:styleId="Els-body-text">
    <w:name w:val="Els-body-text"/>
    <w:rsid w:val="0075261E"/>
    <w:pPr>
      <w:spacing w:line="240" w:lineRule="exact"/>
      <w:ind w:firstLine="238"/>
      <w:jc w:val="both"/>
    </w:pPr>
    <w:rPr>
      <w:rFonts w:ascii="Times New Roman" w:hAnsi="Times New Roman"/>
      <w:lang w:val="en-US" w:eastAsia="en-US"/>
    </w:rPr>
  </w:style>
  <w:style w:type="paragraph" w:customStyle="1" w:styleId="Els-bulletlist">
    <w:name w:val="Els-bulletlist"/>
    <w:basedOn w:val="Els-body-text"/>
    <w:rsid w:val="0075261E"/>
    <w:pPr>
      <w:numPr>
        <w:numId w:val="7"/>
      </w:numPr>
      <w:tabs>
        <w:tab w:val="left" w:pos="240"/>
      </w:tabs>
      <w:jc w:val="left"/>
    </w:pPr>
  </w:style>
  <w:style w:type="paragraph" w:customStyle="1" w:styleId="Testo">
    <w:name w:val="Testo"/>
    <w:basedOn w:val="Normal"/>
    <w:rsid w:val="0075261E"/>
    <w:pPr>
      <w:widowControl w:val="0"/>
      <w:suppressAutoHyphens/>
      <w:spacing w:line="252" w:lineRule="auto"/>
      <w:ind w:firstLine="202"/>
    </w:pPr>
    <w:rPr>
      <w:color w:val="auto"/>
      <w:sz w:val="20"/>
      <w:lang w:eastAsia="en-US"/>
    </w:rPr>
  </w:style>
  <w:style w:type="paragraph" w:styleId="Prrafodelista">
    <w:name w:val="List Paragraph"/>
    <w:basedOn w:val="Normal"/>
    <w:uiPriority w:val="34"/>
    <w:qFormat/>
    <w:rsid w:val="0075261E"/>
    <w:pPr>
      <w:spacing w:line="240" w:lineRule="auto"/>
      <w:ind w:left="720"/>
      <w:contextualSpacing/>
    </w:pPr>
    <w:rPr>
      <w:color w:val="auto"/>
      <w:sz w:val="20"/>
      <w:lang w:eastAsia="en-US"/>
    </w:rPr>
  </w:style>
  <w:style w:type="paragraph" w:customStyle="1" w:styleId="Els-acknowledgement">
    <w:name w:val="Els-acknowledgement"/>
    <w:next w:val="Normal"/>
    <w:rsid w:val="0075261E"/>
    <w:pPr>
      <w:keepNext/>
      <w:spacing w:before="480" w:after="240" w:line="220" w:lineRule="exact"/>
    </w:pPr>
    <w:rPr>
      <w:rFonts w:ascii="Times New Roman" w:hAnsi="Times New Roman"/>
      <w:b/>
      <w:lang w:val="en-US" w:eastAsia="en-US"/>
    </w:rPr>
  </w:style>
  <w:style w:type="paragraph" w:styleId="Sangradetextonormal">
    <w:name w:val="Body Text Indent"/>
    <w:basedOn w:val="Normal"/>
    <w:link w:val="SangradetextonormalCar"/>
    <w:semiHidden/>
    <w:rsid w:val="0075261E"/>
    <w:pPr>
      <w:suppressAutoHyphens/>
      <w:spacing w:line="240" w:lineRule="auto"/>
      <w:ind w:firstLine="360"/>
    </w:pPr>
    <w:rPr>
      <w:color w:val="auto"/>
      <w:kern w:val="14"/>
      <w:sz w:val="20"/>
      <w:lang w:eastAsia="en-US"/>
    </w:rPr>
  </w:style>
  <w:style w:type="character" w:customStyle="1" w:styleId="SangradetextonormalCar">
    <w:name w:val="Sangría de texto normal Car"/>
    <w:basedOn w:val="Fuentedeprrafopredeter"/>
    <w:link w:val="Sangradetextonormal"/>
    <w:semiHidden/>
    <w:rsid w:val="0075261E"/>
    <w:rPr>
      <w:rFonts w:ascii="Times New Roman" w:eastAsia="Times New Roman" w:hAnsi="Times New Roman"/>
      <w:kern w:val="14"/>
      <w:lang w:val="en-US" w:eastAsia="en-US"/>
    </w:rPr>
  </w:style>
  <w:style w:type="paragraph" w:styleId="NormalWeb">
    <w:name w:val="Normal (Web)"/>
    <w:basedOn w:val="Normal"/>
    <w:uiPriority w:val="99"/>
    <w:semiHidden/>
    <w:unhideWhenUsed/>
    <w:rsid w:val="00473D7D"/>
    <w:pPr>
      <w:spacing w:before="100" w:beforeAutospacing="1" w:after="100" w:afterAutospacing="1" w:line="240" w:lineRule="auto"/>
      <w:jc w:val="left"/>
    </w:pPr>
    <w:rPr>
      <w:rFonts w:eastAsiaTheme="minorEastAsia"/>
      <w:color w:val="auto"/>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025">
      <w:bodyDiv w:val="1"/>
      <w:marLeft w:val="0"/>
      <w:marRight w:val="0"/>
      <w:marTop w:val="0"/>
      <w:marBottom w:val="0"/>
      <w:divBdr>
        <w:top w:val="none" w:sz="0" w:space="0" w:color="auto"/>
        <w:left w:val="none" w:sz="0" w:space="0" w:color="auto"/>
        <w:bottom w:val="none" w:sz="0" w:space="0" w:color="auto"/>
        <w:right w:val="none" w:sz="0" w:space="0" w:color="auto"/>
      </w:divBdr>
    </w:div>
    <w:div w:id="220529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penabm.org" TargetMode="Externa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0.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umbreras\Downloads\energi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energies-template.dot</Template>
  <TotalTime>0</TotalTime>
  <Pages>15</Pages>
  <Words>7717</Words>
  <Characters>43990</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51604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Sara Lumbreras</dc:creator>
  <cp:keywords/>
  <dc:description/>
  <cp:lastModifiedBy>Isaac Camilo González Romero</cp:lastModifiedBy>
  <cp:revision>2</cp:revision>
  <cp:lastPrinted>2019-09-18T06:26:00Z</cp:lastPrinted>
  <dcterms:created xsi:type="dcterms:W3CDTF">2019-09-19T12:03:00Z</dcterms:created>
  <dcterms:modified xsi:type="dcterms:W3CDTF">2019-09-19T12:03:00Z</dcterms:modified>
</cp:coreProperties>
</file>